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2D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江西服装学院2025年专升本招生章程</w:t>
      </w:r>
    </w:p>
    <w:p w14:paraId="7F74BF33">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00" w:lineRule="atLeast"/>
        <w:ind w:left="0" w:right="0"/>
        <w:jc w:val="center"/>
        <w:rPr>
          <w:color w:val="666666"/>
          <w:sz w:val="14"/>
          <w:szCs w:val="14"/>
        </w:rPr>
      </w:pPr>
      <w:r>
        <w:rPr>
          <w:rFonts w:ascii="宋体" w:hAnsi="宋体" w:eastAsia="宋体" w:cs="宋体"/>
          <w:color w:val="666666"/>
          <w:kern w:val="0"/>
          <w:sz w:val="14"/>
          <w:szCs w:val="14"/>
          <w:bdr w:val="none" w:color="auto" w:sz="0" w:space="0"/>
          <w:shd w:val="clear" w:fill="F5F5F5"/>
          <w:lang w:val="en-US" w:eastAsia="zh-CN" w:bidi="ar"/>
        </w:rPr>
        <w:t>时间：2025-02-17 浏览：23</w:t>
      </w:r>
    </w:p>
    <w:p w14:paraId="00767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both"/>
      </w:pPr>
      <w:r>
        <w:rPr>
          <w:rFonts w:ascii="仿宋" w:hAnsi="仿宋" w:eastAsia="仿宋" w:cs="仿宋"/>
          <w:sz w:val="20"/>
          <w:szCs w:val="20"/>
          <w:bdr w:val="none" w:color="auto" w:sz="0" w:space="0"/>
        </w:rPr>
        <w:t>为保证江西服装学院</w:t>
      </w:r>
      <w:r>
        <w:rPr>
          <w:rFonts w:hint="eastAsia" w:ascii="仿宋" w:hAnsi="仿宋" w:eastAsia="仿宋" w:cs="仿宋"/>
          <w:sz w:val="20"/>
          <w:szCs w:val="20"/>
          <w:bdr w:val="none" w:color="auto" w:sz="0" w:space="0"/>
        </w:rPr>
        <w:t>2025年专升本招生工作顺利进行，维护学校和考生的合法权益，依据《中华人民共和国教育法》、《中华人民共和国高等教育法》，按照省教育厅相关文件的通知要求，结合江西服装学院招生工作的具体情况制定本章程。</w:t>
      </w:r>
    </w:p>
    <w:p w14:paraId="1D2C9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ascii="黑体" w:hAnsi="宋体" w:eastAsia="黑体" w:cs="黑体"/>
          <w:sz w:val="21"/>
          <w:szCs w:val="21"/>
          <w:bdr w:val="none" w:color="auto" w:sz="0" w:space="0"/>
        </w:rPr>
        <w:t>第一章</w:t>
      </w:r>
      <w:r>
        <w:rPr>
          <w:rStyle w:val="5"/>
          <w:rFonts w:hint="eastAsia" w:ascii="黑体" w:hAnsi="宋体" w:eastAsia="黑体" w:cs="黑体"/>
          <w:sz w:val="21"/>
          <w:szCs w:val="21"/>
          <w:bdr w:val="none" w:color="auto" w:sz="0" w:space="0"/>
        </w:rPr>
        <w:t> 总则</w:t>
      </w:r>
    </w:p>
    <w:p w14:paraId="7F273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第一条</w:t>
      </w:r>
      <w:r>
        <w:rPr>
          <w:sz w:val="14"/>
          <w:szCs w:val="14"/>
          <w:bdr w:val="none" w:color="auto" w:sz="0" w:space="0"/>
        </w:rPr>
        <w:t> </w:t>
      </w:r>
      <w:r>
        <w:rPr>
          <w:rFonts w:hint="eastAsia" w:ascii="仿宋" w:hAnsi="仿宋" w:eastAsia="仿宋" w:cs="仿宋"/>
          <w:sz w:val="20"/>
          <w:szCs w:val="20"/>
          <w:bdr w:val="none" w:color="auto" w:sz="0" w:space="0"/>
        </w:rPr>
        <w:t>本章程适用于江西服装学院2025年专升本招生工作。</w:t>
      </w:r>
    </w:p>
    <w:p w14:paraId="4BD52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第二条</w:t>
      </w:r>
      <w:r>
        <w:rPr>
          <w:sz w:val="14"/>
          <w:szCs w:val="14"/>
          <w:bdr w:val="none" w:color="auto" w:sz="0" w:space="0"/>
        </w:rPr>
        <w:t> </w:t>
      </w:r>
      <w:r>
        <w:rPr>
          <w:rFonts w:hint="eastAsia" w:ascii="仿宋" w:hAnsi="仿宋" w:eastAsia="仿宋" w:cs="仿宋"/>
          <w:sz w:val="20"/>
          <w:szCs w:val="20"/>
          <w:bdr w:val="none" w:color="auto" w:sz="0" w:space="0"/>
        </w:rPr>
        <w:t>江西服装学院专升本招生工作贯彻“公平竞争、公正选拔、公开程序”的原则。</w:t>
      </w:r>
    </w:p>
    <w:p w14:paraId="16CCE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第三条</w:t>
      </w:r>
      <w:r>
        <w:rPr>
          <w:sz w:val="14"/>
          <w:szCs w:val="14"/>
          <w:bdr w:val="none" w:color="auto" w:sz="0" w:space="0"/>
        </w:rPr>
        <w:t> </w:t>
      </w:r>
      <w:r>
        <w:rPr>
          <w:rFonts w:hint="eastAsia" w:ascii="仿宋" w:hAnsi="仿宋" w:eastAsia="仿宋" w:cs="仿宋"/>
          <w:sz w:val="20"/>
          <w:szCs w:val="20"/>
          <w:bdr w:val="none" w:color="auto" w:sz="0" w:space="0"/>
        </w:rPr>
        <w:t>江西服装学院专升本招生工作接受纪检监察部门、考生及其家长以及社会各界的监督。</w:t>
      </w:r>
    </w:p>
    <w:p w14:paraId="6B358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第二章 学校概况</w:t>
      </w:r>
    </w:p>
    <w:p w14:paraId="75F3C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第四条</w:t>
      </w:r>
      <w:r>
        <w:rPr>
          <w:rFonts w:hint="eastAsia" w:ascii="仿宋" w:hAnsi="仿宋" w:eastAsia="仿宋" w:cs="仿宋"/>
          <w:sz w:val="20"/>
          <w:szCs w:val="20"/>
          <w:bdr w:val="none" w:color="auto" w:sz="0" w:space="0"/>
        </w:rPr>
        <w:t> 学校全称：江西服装学院</w:t>
      </w:r>
      <w:r>
        <w:rPr>
          <w:sz w:val="14"/>
          <w:szCs w:val="14"/>
          <w:bdr w:val="none" w:color="auto" w:sz="0" w:space="0"/>
        </w:rPr>
        <w:t> </w:t>
      </w:r>
      <w:r>
        <w:rPr>
          <w:rFonts w:hint="eastAsia" w:ascii="仿宋" w:hAnsi="仿宋" w:eastAsia="仿宋" w:cs="仿宋"/>
          <w:sz w:val="20"/>
          <w:szCs w:val="20"/>
          <w:bdr w:val="none" w:color="auto" w:sz="0" w:space="0"/>
        </w:rPr>
        <w:t>学校代码：13418。</w:t>
      </w:r>
    </w:p>
    <w:p w14:paraId="0540A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第五条</w:t>
      </w:r>
      <w:r>
        <w:rPr>
          <w:rFonts w:hint="eastAsia" w:ascii="仿宋" w:hAnsi="仿宋" w:eastAsia="仿宋" w:cs="仿宋"/>
          <w:sz w:val="20"/>
          <w:szCs w:val="20"/>
          <w:bdr w:val="none" w:color="auto" w:sz="0" w:space="0"/>
        </w:rPr>
        <w:t> 学校地址：江西省南昌市向塘经济开发区丽湖中大道103号 邮编：330201。</w:t>
      </w:r>
    </w:p>
    <w:p w14:paraId="5B117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第六条</w:t>
      </w:r>
      <w:r>
        <w:rPr>
          <w:rFonts w:hint="eastAsia" w:ascii="仿宋" w:hAnsi="仿宋" w:eastAsia="仿宋" w:cs="仿宋"/>
          <w:sz w:val="20"/>
          <w:szCs w:val="20"/>
          <w:bdr w:val="none" w:color="auto" w:sz="0" w:space="0"/>
        </w:rPr>
        <w:t> 学校办学层次及类型：非营利性全日制民办普通本科高校。</w:t>
      </w:r>
    </w:p>
    <w:p w14:paraId="4E3BC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p>
    <w:p w14:paraId="3B4DF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第三章 组织机构</w:t>
      </w:r>
    </w:p>
    <w:p w14:paraId="407B3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第七条</w:t>
      </w:r>
      <w:r>
        <w:rPr>
          <w:rFonts w:hint="eastAsia" w:ascii="仿宋" w:hAnsi="仿宋" w:eastAsia="仿宋" w:cs="仿宋"/>
          <w:sz w:val="20"/>
          <w:szCs w:val="20"/>
          <w:bdr w:val="none" w:color="auto" w:sz="0" w:space="0"/>
        </w:rPr>
        <w:t> 江西服装学院成立以校领导为组长的招生工作领导小组及招生工作委员会。招生工作委员会负责讨论决定招生工作重大事宜。</w:t>
      </w:r>
    </w:p>
    <w:p w14:paraId="573E3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第八条</w:t>
      </w:r>
      <w:r>
        <w:rPr>
          <w:rFonts w:hint="eastAsia" w:ascii="仿宋" w:hAnsi="仿宋" w:eastAsia="仿宋" w:cs="仿宋"/>
          <w:sz w:val="20"/>
          <w:szCs w:val="20"/>
          <w:bdr w:val="none" w:color="auto" w:sz="0" w:space="0"/>
        </w:rPr>
        <w:t> 江西服装学院专升本工作由招生处和教务处共同组织、实施。</w:t>
      </w:r>
    </w:p>
    <w:p w14:paraId="3737A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第九条 </w:t>
      </w:r>
      <w:r>
        <w:rPr>
          <w:rFonts w:hint="eastAsia" w:ascii="仿宋" w:hAnsi="仿宋" w:eastAsia="仿宋" w:cs="仿宋"/>
          <w:sz w:val="20"/>
          <w:szCs w:val="20"/>
          <w:bdr w:val="none" w:color="auto" w:sz="0" w:space="0"/>
        </w:rPr>
        <w:t>学校纪检部门对2025年专升本招生工作实施监督，负责监督招生工作各项政策和规定的落实，维护广大考生和学校的合法权益，并接受社会监督，监督投诉电话：0791-87363148，邮箱：jcs@jift.edu.cn。</w:t>
      </w:r>
    </w:p>
    <w:p w14:paraId="6D64E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第四章 招生计划及专业</w:t>
      </w:r>
    </w:p>
    <w:p w14:paraId="0F236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第十条</w:t>
      </w:r>
      <w:r>
        <w:rPr>
          <w:rFonts w:hint="eastAsia" w:ascii="仿宋" w:hAnsi="仿宋" w:eastAsia="仿宋" w:cs="仿宋"/>
          <w:sz w:val="20"/>
          <w:szCs w:val="20"/>
          <w:bdr w:val="none" w:color="auto" w:sz="0" w:space="0"/>
        </w:rPr>
        <w:t> 专升本招生计划通过江西省教育厅、学校招生简章、学校网站等形式向社会公布，2025年专升本具体招生计划数和专业以省教育厅公布为准。</w:t>
      </w:r>
    </w:p>
    <w:p w14:paraId="05ED1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第五章 招生对象以及报考条件</w:t>
      </w:r>
    </w:p>
    <w:p w14:paraId="4187C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第十一条 报考对象</w:t>
      </w:r>
    </w:p>
    <w:p w14:paraId="1278B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（一）江西省普通高职（专科）应届毕业生，且在2025年7月31日前可取得毕业证的考生。</w:t>
      </w:r>
    </w:p>
    <w:p w14:paraId="798D4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（二）已退役大学生士兵（含2025年3月退役大学生士兵）在2025年7月31日前可取得或已取得毕业证，且符合下列条件之一：</w:t>
      </w:r>
    </w:p>
    <w:p w14:paraId="07AF2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1.江西省普通高职（专科）学生在校期间或毕业后应征入伍。</w:t>
      </w:r>
    </w:p>
    <w:p w14:paraId="4A008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2.外省普通高职（专科）学生在校期间或毕业后，在江西应征入伍。</w:t>
      </w:r>
    </w:p>
    <w:p w14:paraId="573CC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第十二条 </w:t>
      </w:r>
      <w:r>
        <w:rPr>
          <w:rFonts w:hint="eastAsia" w:ascii="仿宋" w:hAnsi="仿宋" w:eastAsia="仿宋" w:cs="仿宋"/>
          <w:sz w:val="20"/>
          <w:szCs w:val="20"/>
          <w:bdr w:val="none" w:color="auto" w:sz="0" w:space="0"/>
        </w:rPr>
        <w:t>报考条件</w:t>
      </w:r>
    </w:p>
    <w:p w14:paraId="75582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（一）考生（含免试生）报名需同时满足以下基本条件。其中，条件4只适用于退役大学生士兵。</w:t>
      </w:r>
    </w:p>
    <w:p w14:paraId="48BA4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1.遵守《中华人民共和国宪法》及其他法律法规。</w:t>
      </w:r>
    </w:p>
    <w:p w14:paraId="33CFA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2.身体状况符合相关要求。</w:t>
      </w:r>
    </w:p>
    <w:p w14:paraId="1A96F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3.高职（专科）学习期间无记过及以上纪律处分，或受到纪律处分但报名前已解除处分的。</w:t>
      </w:r>
    </w:p>
    <w:p w14:paraId="4329B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4.在入伍期间和退役后工作学习期间，无记过及以上纪律处分，或受到纪律处分但报名前已解除处分的。</w:t>
      </w:r>
    </w:p>
    <w:p w14:paraId="03917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shd w:val="clear" w:fill="FFFFFF"/>
        </w:rPr>
        <w:t>（二）专项考生（含免试生）在满足以上基本条件的同时，还需满足相应专项计划要求的其他条件。</w:t>
      </w:r>
    </w:p>
    <w:p w14:paraId="6CDDC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第六章 考试</w:t>
      </w:r>
    </w:p>
    <w:p w14:paraId="40935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rPr>
        <w:t>第十三条</w:t>
      </w:r>
      <w:r>
        <w:rPr>
          <w:rFonts w:hint="eastAsia" w:ascii="仿宋" w:hAnsi="仿宋" w:eastAsia="仿宋" w:cs="仿宋"/>
          <w:sz w:val="20"/>
          <w:szCs w:val="20"/>
          <w:bdr w:val="none" w:color="auto" w:sz="0" w:space="0"/>
        </w:rPr>
        <w:t> 考试科目、时间、地点</w:t>
      </w:r>
    </w:p>
    <w:p w14:paraId="0D823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Fonts w:hint="eastAsia" w:ascii="仿宋" w:hAnsi="仿宋" w:eastAsia="仿宋" w:cs="仿宋"/>
          <w:sz w:val="20"/>
          <w:szCs w:val="20"/>
          <w:bdr w:val="none" w:color="auto" w:sz="0" w:space="0"/>
        </w:rPr>
        <w:t>（一）考试科目。公共基础课和专业基础及技能知识课。</w:t>
      </w:r>
    </w:p>
    <w:p w14:paraId="5D2ED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Fonts w:hint="eastAsia" w:ascii="仿宋" w:hAnsi="仿宋" w:eastAsia="仿宋" w:cs="仿宋"/>
          <w:sz w:val="20"/>
          <w:szCs w:val="20"/>
          <w:bdr w:val="none" w:color="auto" w:sz="0" w:space="0"/>
        </w:rPr>
        <w:t>（二）考试时间。全省普通高等学校专升本考试工作原则上于3月底前完成，具体考试时间以上级部门公布为准。</w:t>
      </w:r>
    </w:p>
    <w:p w14:paraId="0B7EE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Fonts w:hint="eastAsia" w:ascii="仿宋" w:hAnsi="仿宋" w:eastAsia="仿宋" w:cs="仿宋"/>
          <w:sz w:val="20"/>
          <w:szCs w:val="20"/>
          <w:bdr w:val="none" w:color="auto" w:sz="0" w:space="0"/>
        </w:rPr>
        <w:t>（三）考试地点。考试地点由各设区市考试机构统一安排在标准化考点。</w:t>
      </w:r>
    </w:p>
    <w:p w14:paraId="3D51B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Fonts w:hint="eastAsia" w:ascii="仿宋" w:hAnsi="仿宋" w:eastAsia="仿宋" w:cs="仿宋"/>
          <w:sz w:val="20"/>
          <w:szCs w:val="20"/>
          <w:bdr w:val="none" w:color="auto" w:sz="0" w:space="0"/>
        </w:rPr>
        <w:t>（四）命题和评卷。全省统一组织命题、制卷、评卷。</w:t>
      </w:r>
    </w:p>
    <w:p w14:paraId="2FB7C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第七章 志愿填报</w:t>
      </w:r>
    </w:p>
    <w:p w14:paraId="5DD9A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第十四条</w:t>
      </w:r>
      <w:r>
        <w:rPr>
          <w:rFonts w:hint="eastAsia" w:ascii="仿宋" w:hAnsi="仿宋" w:eastAsia="仿宋" w:cs="仿宋"/>
          <w:sz w:val="20"/>
          <w:szCs w:val="20"/>
          <w:bdr w:val="none" w:color="auto" w:sz="0" w:space="0"/>
        </w:rPr>
        <w:t> 志愿填报</w:t>
      </w:r>
    </w:p>
    <w:p w14:paraId="2C9C7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志愿填报。所有考生须于规定时间内，自行登录江西省教育考试院网站“专升本志愿填报系统”，选择填报志愿。</w:t>
      </w:r>
    </w:p>
    <w:p w14:paraId="342AA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缺额征集志愿填报。具体缺额院校、专业、计划情况须根据实际录取统计数据为准，届时考生关注省教育考试院网上发布的公告，以公告内容为准。</w:t>
      </w:r>
    </w:p>
    <w:p w14:paraId="1ED6F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退役大学生士兵按照《江西省退役大学生士兵专升本免试招生工作要求》填报志愿。</w:t>
      </w:r>
    </w:p>
    <w:p w14:paraId="224C8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第八章 录取及计划调整</w:t>
      </w:r>
    </w:p>
    <w:p w14:paraId="14EAB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第十五条</w:t>
      </w:r>
      <w:r>
        <w:rPr>
          <w:rFonts w:hint="eastAsia" w:ascii="仿宋" w:hAnsi="仿宋" w:eastAsia="仿宋" w:cs="仿宋"/>
          <w:sz w:val="20"/>
          <w:szCs w:val="20"/>
          <w:bdr w:val="none" w:color="auto" w:sz="0" w:space="0"/>
        </w:rPr>
        <w:t> 录取及计划调整</w:t>
      </w:r>
    </w:p>
    <w:p w14:paraId="4BBA0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进档考生根据投档成绩从高到低按专业进行排序，总分相同时专业基础及技能知识课优先，其次按政治、英语、信息技术课程顺序，单科分数高低排序录取。</w:t>
      </w:r>
    </w:p>
    <w:p w14:paraId="1D82A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“免试计划”和“专项计划”未完成的空余计划将在普通计划投档前调整至“普通计划”。</w:t>
      </w:r>
    </w:p>
    <w:p w14:paraId="411E5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考生志愿填报是一种电子契约，凡按志愿投档且符合录取条件的考生，不得要求高校退档，高校也不得以考生自愿放弃为由退录。</w:t>
      </w:r>
    </w:p>
    <w:p w14:paraId="293BF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第十六条 </w:t>
      </w:r>
      <w:r>
        <w:rPr>
          <w:rFonts w:hint="eastAsia" w:ascii="仿宋" w:hAnsi="仿宋" w:eastAsia="仿宋" w:cs="仿宋"/>
          <w:sz w:val="20"/>
          <w:szCs w:val="20"/>
          <w:bdr w:val="none" w:color="auto" w:sz="0" w:space="0"/>
        </w:rPr>
        <w:t>资格审查贯穿考试录取全过程。新生入学时必须取得专科毕业证书，未获得专科毕业证书的取消入学资格，入学后学校按照有关规定进行入学资格审查和体检，对冒名顶替、弄虚作假、体检或审查不符合条件的学生，取消入学资格并上报上级主管部门。</w:t>
      </w:r>
    </w:p>
    <w:p w14:paraId="0B16B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第九章 成绩复核</w:t>
      </w:r>
    </w:p>
    <w:p w14:paraId="29637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第十七条</w:t>
      </w:r>
      <w:r>
        <w:rPr>
          <w:rFonts w:hint="eastAsia" w:ascii="仿宋" w:hAnsi="仿宋" w:eastAsia="仿宋" w:cs="仿宋"/>
          <w:sz w:val="20"/>
          <w:szCs w:val="20"/>
          <w:bdr w:val="none" w:color="auto" w:sz="0" w:space="0"/>
        </w:rPr>
        <w:t> 全省统一组织评卷、统分工作，成绩复核由考生向江西省教育考试院申请。</w:t>
      </w:r>
    </w:p>
    <w:p w14:paraId="23944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第十章 专业计划、收费标准及资助政策</w:t>
      </w:r>
    </w:p>
    <w:p w14:paraId="30749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第十八条</w:t>
      </w:r>
      <w:r>
        <w:rPr>
          <w:rFonts w:hint="eastAsia" w:ascii="仿宋" w:hAnsi="仿宋" w:eastAsia="仿宋" w:cs="仿宋"/>
          <w:sz w:val="20"/>
          <w:szCs w:val="20"/>
          <w:bdr w:val="none" w:color="auto" w:sz="0" w:space="0"/>
        </w:rPr>
        <w:t> 各专业计划、收费标准以“志愿填报系统”和学校网站公布为准。</w:t>
      </w:r>
    </w:p>
    <w:tbl>
      <w:tblPr>
        <w:tblW w:w="1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310"/>
        <w:gridCol w:w="293"/>
        <w:gridCol w:w="521"/>
      </w:tblGrid>
      <w:tr w14:paraId="6450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0" w:type="dxa"/>
            <w:gridSpan w:val="4"/>
            <w:tcBorders>
              <w:top w:val="nil"/>
              <w:left w:val="nil"/>
              <w:bottom w:val="nil"/>
              <w:right w:val="nil"/>
            </w:tcBorders>
            <w:shd w:val="clear"/>
            <w:noWrap/>
            <w:tcMar>
              <w:left w:w="70" w:type="dxa"/>
              <w:right w:w="70" w:type="dxa"/>
            </w:tcMar>
            <w:vAlign w:val="bottom"/>
          </w:tcPr>
          <w:p w14:paraId="6C4E9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黑体" w:hAnsi="宋体" w:eastAsia="黑体" w:cs="黑体"/>
                <w:sz w:val="21"/>
                <w:szCs w:val="21"/>
                <w:bdr w:val="none" w:color="auto" w:sz="0" w:space="0"/>
              </w:rPr>
              <w:t>江西服装学院2025年专升本拟招生专业计划表</w:t>
            </w:r>
          </w:p>
        </w:tc>
      </w:tr>
      <w:tr w14:paraId="317C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9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2991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5"/>
                <w:szCs w:val="15"/>
                <w:bdr w:val="none" w:color="auto" w:sz="0" w:space="0"/>
              </w:rPr>
              <w:t>批次名称</w:t>
            </w:r>
          </w:p>
        </w:tc>
        <w:tc>
          <w:tcPr>
            <w:tcW w:w="310" w:type="dxa"/>
            <w:tcBorders>
              <w:top w:val="single" w:color="auto" w:sz="4" w:space="0"/>
              <w:left w:val="nil"/>
              <w:bottom w:val="single" w:color="auto" w:sz="4" w:space="0"/>
              <w:right w:val="single" w:color="auto" w:sz="4" w:space="0"/>
            </w:tcBorders>
            <w:shd w:val="clear"/>
            <w:noWrap/>
            <w:tcMar>
              <w:left w:w="70" w:type="dxa"/>
              <w:right w:w="70" w:type="dxa"/>
            </w:tcMar>
            <w:vAlign w:val="center"/>
          </w:tcPr>
          <w:p w14:paraId="4DE62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5"/>
                <w:szCs w:val="15"/>
                <w:bdr w:val="none" w:color="auto" w:sz="0" w:space="0"/>
              </w:rPr>
              <w:t>拟招生专业</w:t>
            </w:r>
          </w:p>
        </w:tc>
        <w:tc>
          <w:tcPr>
            <w:tcW w:w="190" w:type="dxa"/>
            <w:tcBorders>
              <w:top w:val="single" w:color="auto" w:sz="4" w:space="0"/>
              <w:left w:val="nil"/>
              <w:bottom w:val="single" w:color="auto" w:sz="4" w:space="0"/>
              <w:right w:val="single" w:color="auto" w:sz="4" w:space="0"/>
            </w:tcBorders>
            <w:shd w:val="clear"/>
            <w:noWrap/>
            <w:tcMar>
              <w:left w:w="70" w:type="dxa"/>
              <w:right w:w="70" w:type="dxa"/>
            </w:tcMar>
            <w:vAlign w:val="center"/>
          </w:tcPr>
          <w:p w14:paraId="2A4D9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5"/>
                <w:szCs w:val="15"/>
                <w:bdr w:val="none" w:color="auto" w:sz="0" w:space="0"/>
              </w:rPr>
              <w:t>计划数</w:t>
            </w:r>
          </w:p>
        </w:tc>
        <w:tc>
          <w:tcPr>
            <w:tcW w:w="190" w:type="dxa"/>
            <w:tcBorders>
              <w:top w:val="single" w:color="auto" w:sz="4" w:space="0"/>
              <w:left w:val="nil"/>
              <w:bottom w:val="single" w:color="auto" w:sz="4" w:space="0"/>
              <w:right w:val="single" w:color="auto" w:sz="4" w:space="0"/>
            </w:tcBorders>
            <w:shd w:val="clear"/>
            <w:tcMar>
              <w:left w:w="70" w:type="dxa"/>
              <w:right w:w="70" w:type="dxa"/>
            </w:tcMar>
            <w:vAlign w:val="center"/>
          </w:tcPr>
          <w:p w14:paraId="132DF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5"/>
                <w:szCs w:val="15"/>
                <w:bdr w:val="none" w:color="auto" w:sz="0" w:space="0"/>
              </w:rPr>
              <w:t>收费标准</w:t>
            </w:r>
            <w:r>
              <w:rPr>
                <w:rStyle w:val="5"/>
                <w:sz w:val="15"/>
                <w:szCs w:val="15"/>
                <w:bdr w:val="none" w:color="auto" w:sz="0" w:space="0"/>
              </w:rPr>
              <w:br w:type="textWrapping"/>
            </w:r>
            <w:r>
              <w:rPr>
                <w:rStyle w:val="5"/>
                <w:rFonts w:hint="eastAsia" w:ascii="宋体" w:hAnsi="宋体" w:eastAsia="宋体" w:cs="宋体"/>
                <w:sz w:val="15"/>
                <w:szCs w:val="15"/>
                <w:bdr w:val="none" w:color="auto" w:sz="0" w:space="0"/>
              </w:rPr>
              <w:t>（元/年）</w:t>
            </w:r>
          </w:p>
        </w:tc>
      </w:tr>
      <w:tr w14:paraId="4F7E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90" w:type="dxa"/>
            <w:tcBorders>
              <w:top w:val="nil"/>
              <w:left w:val="single" w:color="auto" w:sz="4" w:space="0"/>
              <w:bottom w:val="single" w:color="auto" w:sz="4" w:space="0"/>
              <w:right w:val="single" w:color="auto" w:sz="4" w:space="0"/>
            </w:tcBorders>
            <w:shd w:val="clear"/>
            <w:noWrap/>
            <w:tcMar>
              <w:left w:w="70" w:type="dxa"/>
              <w:right w:w="70" w:type="dxa"/>
            </w:tcMar>
            <w:vAlign w:val="center"/>
          </w:tcPr>
          <w:p w14:paraId="01E4B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普通批次</w:t>
            </w:r>
          </w:p>
        </w:tc>
        <w:tc>
          <w:tcPr>
            <w:tcW w:w="310" w:type="dxa"/>
            <w:tcBorders>
              <w:top w:val="nil"/>
              <w:left w:val="nil"/>
              <w:bottom w:val="single" w:color="auto" w:sz="4" w:space="0"/>
              <w:right w:val="single" w:color="auto" w:sz="4" w:space="0"/>
            </w:tcBorders>
            <w:shd w:val="clear"/>
            <w:noWrap/>
            <w:tcMar>
              <w:left w:w="70" w:type="dxa"/>
              <w:right w:w="70" w:type="dxa"/>
            </w:tcMar>
            <w:vAlign w:val="center"/>
          </w:tcPr>
          <w:p w14:paraId="6B4FB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视觉传达设计</w:t>
            </w:r>
          </w:p>
        </w:tc>
        <w:tc>
          <w:tcPr>
            <w:tcW w:w="190" w:type="dxa"/>
            <w:tcBorders>
              <w:top w:val="nil"/>
              <w:left w:val="nil"/>
              <w:bottom w:val="single" w:color="auto" w:sz="4" w:space="0"/>
              <w:right w:val="single" w:color="auto" w:sz="4" w:space="0"/>
            </w:tcBorders>
            <w:shd w:val="clear"/>
            <w:tcMar>
              <w:left w:w="70" w:type="dxa"/>
              <w:right w:w="70" w:type="dxa"/>
            </w:tcMar>
            <w:vAlign w:val="center"/>
          </w:tcPr>
          <w:p w14:paraId="3310B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26</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2C7E1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28000</w:t>
            </w:r>
          </w:p>
        </w:tc>
      </w:tr>
      <w:tr w14:paraId="070C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90" w:type="dxa"/>
            <w:tcBorders>
              <w:top w:val="nil"/>
              <w:left w:val="single" w:color="auto" w:sz="4" w:space="0"/>
              <w:bottom w:val="single" w:color="auto" w:sz="4" w:space="0"/>
              <w:right w:val="single" w:color="auto" w:sz="4" w:space="0"/>
            </w:tcBorders>
            <w:shd w:val="clear"/>
            <w:noWrap/>
            <w:tcMar>
              <w:left w:w="70" w:type="dxa"/>
              <w:right w:w="70" w:type="dxa"/>
            </w:tcMar>
            <w:vAlign w:val="center"/>
          </w:tcPr>
          <w:p w14:paraId="3A38A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免试专项批次</w:t>
            </w:r>
          </w:p>
        </w:tc>
        <w:tc>
          <w:tcPr>
            <w:tcW w:w="310" w:type="dxa"/>
            <w:tcBorders>
              <w:top w:val="nil"/>
              <w:left w:val="nil"/>
              <w:bottom w:val="single" w:color="auto" w:sz="4" w:space="0"/>
              <w:right w:val="single" w:color="auto" w:sz="4" w:space="0"/>
            </w:tcBorders>
            <w:shd w:val="clear"/>
            <w:noWrap/>
            <w:tcMar>
              <w:left w:w="70" w:type="dxa"/>
              <w:right w:w="70" w:type="dxa"/>
            </w:tcMar>
            <w:vAlign w:val="center"/>
          </w:tcPr>
          <w:p w14:paraId="02329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视觉传达设计</w:t>
            </w:r>
          </w:p>
        </w:tc>
        <w:tc>
          <w:tcPr>
            <w:tcW w:w="190" w:type="dxa"/>
            <w:tcBorders>
              <w:top w:val="nil"/>
              <w:left w:val="nil"/>
              <w:bottom w:val="single" w:color="auto" w:sz="4" w:space="0"/>
              <w:right w:val="single" w:color="auto" w:sz="4" w:space="0"/>
            </w:tcBorders>
            <w:shd w:val="clear"/>
            <w:tcMar>
              <w:left w:w="70" w:type="dxa"/>
              <w:right w:w="70" w:type="dxa"/>
            </w:tcMar>
            <w:vAlign w:val="center"/>
          </w:tcPr>
          <w:p w14:paraId="69D71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8</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14550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28000</w:t>
            </w:r>
          </w:p>
        </w:tc>
      </w:tr>
      <w:tr w14:paraId="0076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90" w:type="dxa"/>
            <w:tcBorders>
              <w:top w:val="nil"/>
              <w:left w:val="single" w:color="auto" w:sz="4" w:space="0"/>
              <w:bottom w:val="single" w:color="auto" w:sz="4" w:space="0"/>
              <w:right w:val="single" w:color="auto" w:sz="4" w:space="0"/>
            </w:tcBorders>
            <w:shd w:val="clear"/>
            <w:noWrap/>
            <w:tcMar>
              <w:left w:w="70" w:type="dxa"/>
              <w:right w:w="70" w:type="dxa"/>
            </w:tcMar>
            <w:vAlign w:val="center"/>
          </w:tcPr>
          <w:p w14:paraId="32207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其他专项批次</w:t>
            </w:r>
          </w:p>
          <w:p w14:paraId="20A6A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（脱贫家庭）</w:t>
            </w:r>
          </w:p>
        </w:tc>
        <w:tc>
          <w:tcPr>
            <w:tcW w:w="310" w:type="dxa"/>
            <w:tcBorders>
              <w:top w:val="nil"/>
              <w:left w:val="nil"/>
              <w:bottom w:val="single" w:color="auto" w:sz="4" w:space="0"/>
              <w:right w:val="single" w:color="auto" w:sz="4" w:space="0"/>
            </w:tcBorders>
            <w:shd w:val="clear"/>
            <w:noWrap/>
            <w:tcMar>
              <w:left w:w="70" w:type="dxa"/>
              <w:right w:w="70" w:type="dxa"/>
            </w:tcMar>
            <w:vAlign w:val="center"/>
          </w:tcPr>
          <w:p w14:paraId="36614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视觉传达设计</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67A50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4</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04096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28000</w:t>
            </w:r>
          </w:p>
        </w:tc>
      </w:tr>
      <w:tr w14:paraId="6FC0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90" w:type="dxa"/>
            <w:tcBorders>
              <w:top w:val="nil"/>
              <w:left w:val="single" w:color="auto" w:sz="4" w:space="0"/>
              <w:bottom w:val="single" w:color="auto" w:sz="4" w:space="0"/>
              <w:right w:val="single" w:color="auto" w:sz="4" w:space="0"/>
            </w:tcBorders>
            <w:shd w:val="clear"/>
            <w:tcMar>
              <w:left w:w="70" w:type="dxa"/>
              <w:right w:w="70" w:type="dxa"/>
            </w:tcMar>
            <w:vAlign w:val="center"/>
          </w:tcPr>
          <w:p w14:paraId="60763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其他专项批次</w:t>
            </w:r>
          </w:p>
          <w:p w14:paraId="3609C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（获奖学生）</w:t>
            </w:r>
          </w:p>
        </w:tc>
        <w:tc>
          <w:tcPr>
            <w:tcW w:w="310" w:type="dxa"/>
            <w:tcBorders>
              <w:top w:val="nil"/>
              <w:left w:val="nil"/>
              <w:bottom w:val="single" w:color="auto" w:sz="4" w:space="0"/>
              <w:right w:val="single" w:color="auto" w:sz="4" w:space="0"/>
            </w:tcBorders>
            <w:shd w:val="clear"/>
            <w:noWrap/>
            <w:tcMar>
              <w:left w:w="70" w:type="dxa"/>
              <w:right w:w="70" w:type="dxa"/>
            </w:tcMar>
            <w:vAlign w:val="center"/>
          </w:tcPr>
          <w:p w14:paraId="75ED3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视觉传达设计</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67740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w:t>
            </w:r>
          </w:p>
        </w:tc>
        <w:tc>
          <w:tcPr>
            <w:tcW w:w="190" w:type="dxa"/>
            <w:tcBorders>
              <w:top w:val="nil"/>
              <w:left w:val="nil"/>
              <w:bottom w:val="single" w:color="auto" w:sz="4" w:space="0"/>
              <w:right w:val="single" w:color="auto" w:sz="4" w:space="0"/>
            </w:tcBorders>
            <w:shd w:val="clear"/>
            <w:noWrap/>
            <w:tcMar>
              <w:left w:w="70" w:type="dxa"/>
              <w:right w:w="70" w:type="dxa"/>
            </w:tcMar>
            <w:vAlign w:val="center"/>
          </w:tcPr>
          <w:p w14:paraId="14B80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28000</w:t>
            </w:r>
          </w:p>
        </w:tc>
      </w:tr>
      <w:tr w14:paraId="7B07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10" w:type="dxa"/>
            <w:gridSpan w:val="2"/>
            <w:tcBorders>
              <w:top w:val="nil"/>
              <w:left w:val="single" w:color="auto" w:sz="4" w:space="0"/>
              <w:bottom w:val="single" w:color="auto" w:sz="4" w:space="0"/>
              <w:right w:val="single" w:color="auto" w:sz="4" w:space="0"/>
            </w:tcBorders>
            <w:shd w:val="clear"/>
            <w:noWrap/>
            <w:tcMar>
              <w:left w:w="70" w:type="dxa"/>
              <w:right w:w="70" w:type="dxa"/>
            </w:tcMar>
            <w:vAlign w:val="bottom"/>
          </w:tcPr>
          <w:p w14:paraId="03C95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合计</w:t>
            </w:r>
          </w:p>
        </w:tc>
        <w:tc>
          <w:tcPr>
            <w:tcW w:w="190" w:type="dxa"/>
            <w:tcBorders>
              <w:top w:val="nil"/>
              <w:left w:val="nil"/>
              <w:bottom w:val="single" w:color="auto" w:sz="4" w:space="0"/>
              <w:right w:val="single" w:color="auto" w:sz="4" w:space="0"/>
            </w:tcBorders>
            <w:shd w:val="clear"/>
            <w:noWrap/>
            <w:tcMar>
              <w:left w:w="70" w:type="dxa"/>
              <w:right w:w="70" w:type="dxa"/>
            </w:tcMar>
            <w:vAlign w:val="bottom"/>
          </w:tcPr>
          <w:p w14:paraId="2C88D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40</w:t>
            </w:r>
          </w:p>
        </w:tc>
        <w:tc>
          <w:tcPr>
            <w:tcW w:w="190" w:type="dxa"/>
            <w:tcBorders>
              <w:top w:val="nil"/>
              <w:left w:val="nil"/>
              <w:bottom w:val="single" w:color="auto" w:sz="4" w:space="0"/>
              <w:right w:val="single" w:color="auto" w:sz="4" w:space="0"/>
            </w:tcBorders>
            <w:shd w:val="clear"/>
            <w:noWrap/>
            <w:tcMar>
              <w:left w:w="70" w:type="dxa"/>
              <w:right w:w="70" w:type="dxa"/>
            </w:tcMar>
            <w:vAlign w:val="bottom"/>
          </w:tcPr>
          <w:p w14:paraId="468434D7">
            <w:pPr>
              <w:keepNext w:val="0"/>
              <w:keepLines w:val="0"/>
              <w:widowControl/>
              <w:suppressLineNumbers w:val="0"/>
              <w:spacing w:before="0" w:beforeAutospacing="1" w:after="0" w:afterAutospacing="1"/>
              <w:ind w:left="0" w:right="0"/>
              <w:jc w:val="left"/>
            </w:pPr>
          </w:p>
        </w:tc>
      </w:tr>
    </w:tbl>
    <w:p w14:paraId="451A0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住宿费：1800元/年</w:t>
      </w:r>
    </w:p>
    <w:p w14:paraId="40046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Fonts w:hint="eastAsia" w:ascii="仿宋" w:hAnsi="仿宋" w:eastAsia="仿宋" w:cs="仿宋"/>
          <w:sz w:val="20"/>
          <w:szCs w:val="20"/>
          <w:bdr w:val="none" w:color="auto" w:sz="0" w:space="0"/>
        </w:rPr>
        <w:t>学生入学后有特殊原因需办理退学退费的，按照省教育厅《江西省民办高校学生退学退费办法》的规定办理退学退费。</w:t>
      </w:r>
    </w:p>
    <w:p w14:paraId="7EA69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00"/>
        <w:jc w:val="both"/>
      </w:pPr>
      <w:r>
        <w:rPr>
          <w:rStyle w:val="5"/>
          <w:rFonts w:hint="eastAsia" w:ascii="仿宋" w:hAnsi="仿宋" w:eastAsia="仿宋" w:cs="仿宋"/>
          <w:sz w:val="20"/>
          <w:szCs w:val="20"/>
          <w:bdr w:val="none" w:color="auto" w:sz="0" w:space="0"/>
        </w:rPr>
        <w:t>第十九条</w:t>
      </w:r>
      <w:r>
        <w:rPr>
          <w:rFonts w:hint="eastAsia" w:ascii="仿宋" w:hAnsi="仿宋" w:eastAsia="仿宋" w:cs="仿宋"/>
          <w:sz w:val="20"/>
          <w:szCs w:val="20"/>
          <w:bdr w:val="none" w:color="auto" w:sz="0" w:space="0"/>
        </w:rPr>
        <w:t> 学校对录取学生设有国家奖学金、国家励志奖学金和国家助学金；生源地国家助学贷款；中国纺织工业联合会“纺织之光”学生奖；“润华奖学金”等，具体根据相关办法进行评选。学校为贫困学生提供勤工助学岗位，解决学生生活困难。</w:t>
      </w:r>
    </w:p>
    <w:p w14:paraId="0B176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10" w:lineRule="atLeast"/>
        <w:ind w:left="0" w:right="0" w:firstLine="430"/>
        <w:jc w:val="center"/>
      </w:pPr>
      <w:r>
        <w:rPr>
          <w:rStyle w:val="5"/>
          <w:rFonts w:hint="eastAsia" w:ascii="黑体" w:hAnsi="宋体" w:eastAsia="黑体" w:cs="黑体"/>
          <w:sz w:val="21"/>
          <w:szCs w:val="21"/>
          <w:bdr w:val="none" w:color="auto" w:sz="0" w:space="0"/>
        </w:rPr>
        <w:t>第十一章 其他</w:t>
      </w:r>
    </w:p>
    <w:p w14:paraId="21AD6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80"/>
        <w:jc w:val="both"/>
      </w:pPr>
      <w:r>
        <w:rPr>
          <w:rStyle w:val="5"/>
          <w:rFonts w:hint="eastAsia" w:ascii="仿宋" w:hAnsi="仿宋" w:eastAsia="仿宋" w:cs="仿宋"/>
          <w:sz w:val="20"/>
          <w:szCs w:val="20"/>
          <w:bdr w:val="none" w:color="auto" w:sz="0" w:space="0"/>
        </w:rPr>
        <w:t>第二十条</w:t>
      </w:r>
      <w:r>
        <w:rPr>
          <w:rFonts w:hint="eastAsia" w:ascii="仿宋" w:hAnsi="仿宋" w:eastAsia="仿宋" w:cs="仿宋"/>
          <w:sz w:val="20"/>
          <w:szCs w:val="20"/>
          <w:bdr w:val="none" w:color="auto" w:sz="0" w:space="0"/>
        </w:rPr>
        <w:t> 专升本录取新生，原则上入学后不能转专业。</w:t>
      </w:r>
    </w:p>
    <w:p w14:paraId="4DD93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第二十一条</w:t>
      </w:r>
      <w:r>
        <w:rPr>
          <w:rFonts w:hint="eastAsia" w:ascii="仿宋" w:hAnsi="仿宋" w:eastAsia="仿宋" w:cs="仿宋"/>
          <w:sz w:val="20"/>
          <w:szCs w:val="20"/>
          <w:bdr w:val="none" w:color="auto" w:sz="0" w:space="0"/>
          <w:shd w:val="clear" w:fill="FFFFFF"/>
        </w:rPr>
        <w:t> 学校不委托任何机构和个人办理招生相关事宜。对以江西服装学院名义进行非法招生宣传等活动的机构或个人，学校保留依法追究其责任的权利。</w:t>
      </w:r>
    </w:p>
    <w:p w14:paraId="212B7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第二十二条</w:t>
      </w:r>
      <w:r>
        <w:rPr>
          <w:rFonts w:hint="eastAsia" w:ascii="仿宋" w:hAnsi="仿宋" w:eastAsia="仿宋" w:cs="仿宋"/>
          <w:sz w:val="20"/>
          <w:szCs w:val="20"/>
          <w:bdr w:val="none" w:color="auto" w:sz="0" w:space="0"/>
          <w:shd w:val="clear" w:fill="FFFFFF"/>
        </w:rPr>
        <w:t> 学校不以任何名义举办专升本辅导班，不编印专升本考试相关资料。</w:t>
      </w:r>
    </w:p>
    <w:p w14:paraId="22DB9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第二十三条</w:t>
      </w:r>
      <w:r>
        <w:rPr>
          <w:rFonts w:hint="eastAsia" w:ascii="仿宋" w:hAnsi="仿宋" w:eastAsia="仿宋" w:cs="仿宋"/>
          <w:sz w:val="20"/>
          <w:szCs w:val="20"/>
          <w:bdr w:val="none" w:color="auto" w:sz="0" w:space="0"/>
          <w:shd w:val="clear" w:fill="FFFFFF"/>
        </w:rPr>
        <w:t> 本章程若有与上级有关政策不一致之处，以上级有关政策为准。未尽事宜，按上级有关规定执行。</w:t>
      </w:r>
    </w:p>
    <w:p w14:paraId="30AD1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第二十四条</w:t>
      </w:r>
      <w:r>
        <w:rPr>
          <w:rFonts w:hint="eastAsia" w:ascii="仿宋" w:hAnsi="仿宋" w:eastAsia="仿宋" w:cs="仿宋"/>
          <w:sz w:val="20"/>
          <w:szCs w:val="20"/>
          <w:bdr w:val="none" w:color="auto" w:sz="0" w:space="0"/>
          <w:shd w:val="clear" w:fill="FFFFFF"/>
        </w:rPr>
        <w:t> 本章程由学校招生工作委员会解释。</w:t>
      </w:r>
    </w:p>
    <w:p w14:paraId="5DB2D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第二十五条 </w:t>
      </w:r>
      <w:r>
        <w:rPr>
          <w:rFonts w:hint="eastAsia" w:ascii="仿宋" w:hAnsi="仿宋" w:eastAsia="仿宋" w:cs="仿宋"/>
          <w:sz w:val="20"/>
          <w:szCs w:val="20"/>
          <w:bdr w:val="none" w:color="auto" w:sz="0" w:space="0"/>
          <w:shd w:val="clear" w:fill="FFFFFF"/>
        </w:rPr>
        <w:t>在2025年专升本招生咨询中，本校咨询人员的意见、建议仅作为考生填报志愿的参考，不属学校录取承诺。学校招生录取有关信息通过印制报考指南、学校招生信息网、教育部及各省（区、市）招生主管部门的专升本信息平台等渠道统一发布。</w:t>
      </w:r>
    </w:p>
    <w:p w14:paraId="31F36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第二十六条</w:t>
      </w:r>
      <w:r>
        <w:rPr>
          <w:rFonts w:hint="eastAsia" w:ascii="仿宋" w:hAnsi="仿宋" w:eastAsia="仿宋" w:cs="仿宋"/>
          <w:sz w:val="20"/>
          <w:szCs w:val="20"/>
          <w:bdr w:val="none" w:color="auto" w:sz="0" w:space="0"/>
          <w:shd w:val="clear" w:fill="FFFFFF"/>
        </w:rPr>
        <w:t> 联系方式</w:t>
      </w:r>
    </w:p>
    <w:p w14:paraId="5BC5E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rPr>
        <w:t>电话：0791-87302688；邮箱：zsc@jift.edu.cn（招生处）</w:t>
      </w:r>
    </w:p>
    <w:p w14:paraId="59F65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rPr>
        <w:t>电话：0791-87302645；邮箱：jwc@jift.edu.cn（教务处）</w:t>
      </w:r>
    </w:p>
    <w:p w14:paraId="066B1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学校网址：http://www.jift.edu.cn/</w:t>
      </w:r>
    </w:p>
    <w:p w14:paraId="2344F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rPr>
        <w:t>通信地址：江西省南昌市向塘经济开发区丽湖中大道103号</w:t>
      </w:r>
    </w:p>
    <w:p w14:paraId="56D74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both"/>
      </w:pPr>
      <w:r>
        <w:rPr>
          <w:rStyle w:val="5"/>
          <w:rFonts w:hint="eastAsia" w:ascii="仿宋" w:hAnsi="仿宋" w:eastAsia="仿宋" w:cs="仿宋"/>
          <w:sz w:val="20"/>
          <w:szCs w:val="20"/>
          <w:bdr w:val="none" w:color="auto" w:sz="0" w:space="0"/>
          <w:shd w:val="clear" w:fill="FFFFFF"/>
        </w:rPr>
        <w:t>邮</w:t>
      </w:r>
      <w:r>
        <w:rPr>
          <w:rStyle w:val="5"/>
          <w:sz w:val="14"/>
          <w:szCs w:val="14"/>
          <w:bdr w:val="none" w:color="auto" w:sz="0" w:space="0"/>
          <w:shd w:val="clear" w:fill="FFFFFF"/>
        </w:rPr>
        <w:t> </w:t>
      </w:r>
      <w:r>
        <w:rPr>
          <w:rStyle w:val="5"/>
          <w:rFonts w:hint="eastAsia" w:ascii="仿宋" w:hAnsi="仿宋" w:eastAsia="仿宋" w:cs="仿宋"/>
          <w:sz w:val="20"/>
          <w:szCs w:val="20"/>
          <w:bdr w:val="none" w:color="auto" w:sz="0" w:space="0"/>
          <w:shd w:val="clear" w:fill="FFFFFF"/>
        </w:rPr>
        <w:t>编：330201</w:t>
      </w:r>
    </w:p>
    <w:p w14:paraId="58F87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p>
    <w:p w14:paraId="5C13A1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9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2025-02-17T03:06:10Z</dcterms:created>
  <dc:creator>DELL</dc:creator>
  <cp:lastModifiedBy>长乐</cp:lastModifiedBy>
  <dcterms:modified xsi:type="dcterms:W3CDTF">2025-02-17T03:06:13Z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2A1C991E69A7482089D6DA5AA141CB23_12</vt:lpwstr>
  </property>
</Properties>
</file>