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21FA8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0"/>
        <w:jc w:val="center"/>
        <w:rPr>
          <w:rFonts w:ascii="微软雅黑" w:hAnsi="微软雅黑" w:eastAsia="微软雅黑" w:cs="微软雅黑"/>
          <w:b/>
          <w:bCs/>
          <w:i w:val="0"/>
          <w:iCs w:val="0"/>
          <w:caps w:val="0"/>
          <w:color w:val="184D83"/>
          <w:spacing w:val="0"/>
          <w:sz w:val="20"/>
          <w:szCs w:val="20"/>
        </w:rPr>
      </w:pPr>
      <w:r>
        <w:rPr>
          <w:rFonts w:hint="eastAsia" w:ascii="微软雅黑" w:hAnsi="微软雅黑" w:eastAsia="微软雅黑" w:cs="微软雅黑"/>
          <w:b/>
          <w:bCs/>
          <w:i w:val="0"/>
          <w:iCs w:val="0"/>
          <w:caps w:val="0"/>
          <w:color w:val="184D83"/>
          <w:spacing w:val="0"/>
          <w:sz w:val="20"/>
          <w:szCs w:val="20"/>
          <w:bdr w:val="none" w:color="auto" w:sz="0" w:space="0"/>
        </w:rPr>
        <w:t>九江学院2025年退役大学生士兵专升本免试招生简章</w:t>
      </w:r>
    </w:p>
    <w:p w14:paraId="5B9C9DDF">
      <w:pPr>
        <w:pStyle w:val="3"/>
        <w:keepNext w:val="0"/>
        <w:keepLines w:val="0"/>
        <w:widowControl/>
        <w:suppressLineNumbers w:val="0"/>
        <w:pBdr>
          <w:top w:val="none" w:color="auto" w:sz="0" w:space="0"/>
          <w:left w:val="none" w:color="auto" w:sz="0" w:space="0"/>
          <w:bottom w:val="dashed" w:color="E5E5E5" w:sz="4" w:space="7"/>
          <w:right w:val="none" w:color="auto" w:sz="0" w:space="0"/>
        </w:pBdr>
        <w:spacing w:before="0" w:beforeAutospacing="0" w:after="200" w:afterAutospacing="0"/>
        <w:ind w:left="0" w:right="0" w:firstLine="0"/>
        <w:jc w:val="center"/>
        <w:rPr>
          <w:rFonts w:hint="eastAsia" w:ascii="微软雅黑" w:hAnsi="微软雅黑" w:eastAsia="微软雅黑" w:cs="微软雅黑"/>
          <w:b w:val="0"/>
          <w:bCs w:val="0"/>
          <w:i w:val="0"/>
          <w:iCs w:val="0"/>
          <w:caps w:val="0"/>
          <w:color w:val="666666"/>
          <w:spacing w:val="0"/>
          <w:sz w:val="14"/>
          <w:szCs w:val="14"/>
        </w:rPr>
      </w:pPr>
      <w:r>
        <w:rPr>
          <w:rFonts w:hint="eastAsia" w:ascii="微软雅黑" w:hAnsi="微软雅黑" w:eastAsia="微软雅黑" w:cs="微软雅黑"/>
          <w:b w:val="0"/>
          <w:bCs w:val="0"/>
          <w:i w:val="0"/>
          <w:iCs w:val="0"/>
          <w:caps w:val="0"/>
          <w:color w:val="666666"/>
          <w:spacing w:val="0"/>
          <w:sz w:val="14"/>
          <w:szCs w:val="14"/>
          <w:bdr w:val="none" w:color="auto" w:sz="0" w:space="0"/>
        </w:rPr>
        <w:t>作者： 发布时间：2025年02月10日 14:37浏览次数：4438</w:t>
      </w:r>
    </w:p>
    <w:p w14:paraId="2BEB1A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jc w:val="left"/>
        <w:rPr>
          <w:sz w:val="14"/>
          <w:szCs w:val="14"/>
        </w:rPr>
      </w:pPr>
      <w:r>
        <w:rPr>
          <w:rFonts w:hint="eastAsia" w:ascii="宋体" w:hAnsi="宋体" w:eastAsia="宋体" w:cs="宋体"/>
          <w:i w:val="0"/>
          <w:iCs w:val="0"/>
          <w:caps w:val="0"/>
          <w:color w:val="000000"/>
          <w:spacing w:val="0"/>
          <w:sz w:val="20"/>
          <w:szCs w:val="20"/>
          <w:bdr w:val="none" w:color="auto" w:sz="0" w:space="0"/>
        </w:rPr>
        <w:t>根据江西省教育厅关于</w:t>
      </w:r>
      <w:r>
        <w:rPr>
          <w:rFonts w:hint="eastAsia" w:ascii="宋体" w:hAnsi="宋体" w:eastAsia="宋体" w:cs="宋体"/>
          <w:i w:val="0"/>
          <w:iCs w:val="0"/>
          <w:caps w:val="0"/>
          <w:color w:val="333333"/>
          <w:spacing w:val="0"/>
          <w:sz w:val="20"/>
          <w:szCs w:val="20"/>
          <w:bdr w:val="none" w:color="auto" w:sz="0" w:space="0"/>
        </w:rPr>
        <w:t>《江西省2025年普通高等学校专升本考试招生实施方案》（赣教高字〔2024〕53号）</w:t>
      </w:r>
      <w:r>
        <w:rPr>
          <w:rFonts w:hint="eastAsia" w:ascii="宋体" w:hAnsi="宋体" w:eastAsia="宋体" w:cs="宋体"/>
          <w:i w:val="0"/>
          <w:iCs w:val="0"/>
          <w:caps w:val="0"/>
          <w:color w:val="000000"/>
          <w:spacing w:val="0"/>
          <w:sz w:val="20"/>
          <w:szCs w:val="20"/>
          <w:bdr w:val="none" w:color="auto" w:sz="0" w:space="0"/>
        </w:rPr>
        <w:t>文件要求，为做好我校今年</w:t>
      </w:r>
      <w:r>
        <w:rPr>
          <w:rFonts w:hint="eastAsia" w:ascii="宋体" w:hAnsi="宋体" w:eastAsia="宋体" w:cs="宋体"/>
          <w:i w:val="0"/>
          <w:iCs w:val="0"/>
          <w:caps w:val="0"/>
          <w:color w:val="333333"/>
          <w:spacing w:val="0"/>
          <w:sz w:val="20"/>
          <w:szCs w:val="20"/>
          <w:bdr w:val="none" w:color="auto" w:sz="0" w:space="0"/>
        </w:rPr>
        <w:t>退役大学生士兵专升本免试招生工作，</w:t>
      </w:r>
      <w:r>
        <w:rPr>
          <w:rFonts w:hint="eastAsia" w:ascii="宋体" w:hAnsi="宋体" w:eastAsia="宋体" w:cs="宋体"/>
          <w:i w:val="0"/>
          <w:iCs w:val="0"/>
          <w:caps w:val="0"/>
          <w:color w:val="000000"/>
          <w:spacing w:val="0"/>
          <w:sz w:val="20"/>
          <w:szCs w:val="20"/>
          <w:bdr w:val="none" w:color="auto" w:sz="0" w:space="0"/>
        </w:rPr>
        <w:t>经学校研究决定，制定本招生简章。</w:t>
      </w:r>
    </w:p>
    <w:p w14:paraId="0F848C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20"/>
        <w:jc w:val="left"/>
        <w:rPr>
          <w:sz w:val="14"/>
          <w:szCs w:val="14"/>
        </w:rPr>
      </w:pPr>
      <w:r>
        <w:rPr>
          <w:rFonts w:hint="eastAsia" w:ascii="宋体" w:hAnsi="宋体" w:eastAsia="宋体" w:cs="宋体"/>
          <w:i w:val="0"/>
          <w:iCs w:val="0"/>
          <w:caps w:val="0"/>
          <w:color w:val="333333"/>
          <w:spacing w:val="0"/>
          <w:sz w:val="20"/>
          <w:szCs w:val="20"/>
          <w:bdr w:val="none" w:color="auto" w:sz="0" w:space="0"/>
        </w:rPr>
        <w:t>一、学校基本情况</w:t>
      </w:r>
    </w:p>
    <w:p w14:paraId="656050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00"/>
        <w:jc w:val="left"/>
        <w:rPr>
          <w:sz w:val="14"/>
          <w:szCs w:val="14"/>
        </w:rPr>
      </w:pPr>
      <w:r>
        <w:rPr>
          <w:rFonts w:hint="eastAsia" w:ascii="宋体" w:hAnsi="宋体" w:eastAsia="宋体" w:cs="宋体"/>
          <w:i w:val="0"/>
          <w:iCs w:val="0"/>
          <w:caps w:val="0"/>
          <w:color w:val="333333"/>
          <w:spacing w:val="0"/>
          <w:sz w:val="20"/>
          <w:szCs w:val="20"/>
          <w:bdr w:val="none" w:color="auto" w:sz="0" w:space="0"/>
        </w:rPr>
        <w:t>（一）校本部</w:t>
      </w:r>
    </w:p>
    <w:p w14:paraId="3E28A3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00"/>
        <w:jc w:val="left"/>
        <w:rPr>
          <w:sz w:val="14"/>
          <w:szCs w:val="14"/>
        </w:rPr>
      </w:pPr>
      <w:r>
        <w:rPr>
          <w:rFonts w:hint="eastAsia" w:ascii="宋体" w:hAnsi="宋体" w:eastAsia="宋体" w:cs="宋体"/>
          <w:i w:val="0"/>
          <w:iCs w:val="0"/>
          <w:caps w:val="0"/>
          <w:color w:val="333333"/>
          <w:spacing w:val="0"/>
          <w:sz w:val="20"/>
          <w:szCs w:val="20"/>
          <w:bdr w:val="none" w:color="auto" w:sz="0" w:space="0"/>
        </w:rPr>
        <w:t>九江学院</w:t>
      </w:r>
    </w:p>
    <w:p w14:paraId="5F65A7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00"/>
        <w:jc w:val="left"/>
        <w:rPr>
          <w:sz w:val="14"/>
          <w:szCs w:val="14"/>
        </w:rPr>
      </w:pPr>
      <w:r>
        <w:rPr>
          <w:rFonts w:hint="eastAsia" w:ascii="宋体" w:hAnsi="宋体" w:eastAsia="宋体" w:cs="宋体"/>
          <w:i w:val="0"/>
          <w:iCs w:val="0"/>
          <w:caps w:val="0"/>
          <w:color w:val="333333"/>
          <w:spacing w:val="0"/>
          <w:sz w:val="20"/>
          <w:szCs w:val="20"/>
          <w:bdr w:val="none" w:color="auto" w:sz="0" w:space="0"/>
        </w:rPr>
        <w:t>办学性质：公办全日制本科普通高等院校</w:t>
      </w:r>
    </w:p>
    <w:p w14:paraId="33B806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00"/>
        <w:jc w:val="left"/>
        <w:rPr>
          <w:sz w:val="14"/>
          <w:szCs w:val="14"/>
        </w:rPr>
      </w:pPr>
      <w:r>
        <w:rPr>
          <w:rFonts w:hint="eastAsia" w:ascii="宋体" w:hAnsi="宋体" w:eastAsia="宋体" w:cs="宋体"/>
          <w:i w:val="0"/>
          <w:iCs w:val="0"/>
          <w:caps w:val="0"/>
          <w:color w:val="333333"/>
          <w:spacing w:val="0"/>
          <w:sz w:val="20"/>
          <w:szCs w:val="20"/>
          <w:bdr w:val="none" w:color="auto" w:sz="0" w:space="0"/>
        </w:rPr>
        <w:t>学校地址：江西省九江市濂溪区前进东路551号</w:t>
      </w:r>
    </w:p>
    <w:p w14:paraId="39EDF3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00"/>
        <w:jc w:val="left"/>
        <w:rPr>
          <w:sz w:val="14"/>
          <w:szCs w:val="14"/>
        </w:rPr>
      </w:pPr>
      <w:r>
        <w:rPr>
          <w:rFonts w:hint="eastAsia" w:ascii="宋体" w:hAnsi="宋体" w:eastAsia="宋体" w:cs="宋体"/>
          <w:i w:val="0"/>
          <w:iCs w:val="0"/>
          <w:caps w:val="0"/>
          <w:color w:val="333333"/>
          <w:spacing w:val="0"/>
          <w:sz w:val="20"/>
          <w:szCs w:val="20"/>
          <w:bdr w:val="none" w:color="auto" w:sz="0" w:space="0"/>
        </w:rPr>
        <w:t>（二）联合培养学校</w:t>
      </w:r>
    </w:p>
    <w:p w14:paraId="49AC16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00"/>
        <w:jc w:val="left"/>
        <w:rPr>
          <w:sz w:val="14"/>
          <w:szCs w:val="14"/>
        </w:rPr>
      </w:pPr>
      <w:r>
        <w:rPr>
          <w:rFonts w:hint="eastAsia" w:ascii="宋体" w:hAnsi="宋体" w:eastAsia="宋体" w:cs="宋体"/>
          <w:i w:val="0"/>
          <w:iCs w:val="0"/>
          <w:caps w:val="0"/>
          <w:color w:val="333333"/>
          <w:spacing w:val="0"/>
          <w:sz w:val="20"/>
          <w:szCs w:val="20"/>
          <w:bdr w:val="none" w:color="auto" w:sz="0" w:space="0"/>
        </w:rPr>
        <w:t>1.江西医学高等专科学校</w:t>
      </w:r>
    </w:p>
    <w:p w14:paraId="221F9C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00"/>
        <w:jc w:val="left"/>
        <w:rPr>
          <w:sz w:val="14"/>
          <w:szCs w:val="14"/>
        </w:rPr>
      </w:pPr>
      <w:r>
        <w:rPr>
          <w:rFonts w:hint="eastAsia" w:ascii="宋体" w:hAnsi="宋体" w:eastAsia="宋体" w:cs="宋体"/>
          <w:i w:val="0"/>
          <w:iCs w:val="0"/>
          <w:caps w:val="0"/>
          <w:color w:val="333333"/>
          <w:spacing w:val="0"/>
          <w:sz w:val="20"/>
          <w:szCs w:val="20"/>
          <w:bdr w:val="none" w:color="auto" w:sz="0" w:space="0"/>
        </w:rPr>
        <w:t>办学性质：公办全日制普通高等职业院校</w:t>
      </w:r>
    </w:p>
    <w:p w14:paraId="16A01B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00"/>
        <w:jc w:val="left"/>
        <w:rPr>
          <w:sz w:val="14"/>
          <w:szCs w:val="14"/>
        </w:rPr>
      </w:pPr>
      <w:r>
        <w:rPr>
          <w:rFonts w:hint="eastAsia" w:ascii="宋体" w:hAnsi="宋体" w:eastAsia="宋体" w:cs="宋体"/>
          <w:i w:val="0"/>
          <w:iCs w:val="0"/>
          <w:caps w:val="0"/>
          <w:color w:val="333333"/>
          <w:spacing w:val="0"/>
          <w:sz w:val="20"/>
          <w:szCs w:val="20"/>
          <w:bdr w:val="none" w:color="auto" w:sz="0" w:space="0"/>
        </w:rPr>
        <w:t>学校地址：江西省上饶市信州区水南街道志敏大道399号</w:t>
      </w:r>
    </w:p>
    <w:p w14:paraId="2A53C0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00"/>
        <w:jc w:val="left"/>
        <w:rPr>
          <w:sz w:val="14"/>
          <w:szCs w:val="14"/>
        </w:rPr>
      </w:pPr>
      <w:r>
        <w:rPr>
          <w:rFonts w:hint="eastAsia" w:ascii="宋体" w:hAnsi="宋体" w:eastAsia="宋体" w:cs="宋体"/>
          <w:i w:val="0"/>
          <w:iCs w:val="0"/>
          <w:caps w:val="0"/>
          <w:color w:val="333333"/>
          <w:spacing w:val="0"/>
          <w:sz w:val="20"/>
          <w:szCs w:val="20"/>
          <w:bdr w:val="none" w:color="auto" w:sz="0" w:space="0"/>
        </w:rPr>
        <w:t>2.赣南卫生健康职业学院</w:t>
      </w:r>
    </w:p>
    <w:p w14:paraId="17B7BE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00"/>
        <w:jc w:val="left"/>
        <w:rPr>
          <w:sz w:val="14"/>
          <w:szCs w:val="14"/>
        </w:rPr>
      </w:pPr>
      <w:r>
        <w:rPr>
          <w:rFonts w:hint="eastAsia" w:ascii="宋体" w:hAnsi="宋体" w:eastAsia="宋体" w:cs="宋体"/>
          <w:i w:val="0"/>
          <w:iCs w:val="0"/>
          <w:caps w:val="0"/>
          <w:color w:val="333333"/>
          <w:spacing w:val="0"/>
          <w:sz w:val="20"/>
          <w:szCs w:val="20"/>
          <w:bdr w:val="none" w:color="auto" w:sz="0" w:space="0"/>
        </w:rPr>
        <w:t>办学性质：公办全日制普通高等职业院校</w:t>
      </w:r>
    </w:p>
    <w:p w14:paraId="75F1FA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00"/>
        <w:jc w:val="left"/>
        <w:rPr>
          <w:sz w:val="14"/>
          <w:szCs w:val="14"/>
        </w:rPr>
      </w:pPr>
      <w:r>
        <w:rPr>
          <w:rFonts w:hint="eastAsia" w:ascii="宋体" w:hAnsi="宋体" w:eastAsia="宋体" w:cs="宋体"/>
          <w:i w:val="0"/>
          <w:iCs w:val="0"/>
          <w:caps w:val="0"/>
          <w:color w:val="333333"/>
          <w:spacing w:val="0"/>
          <w:sz w:val="20"/>
          <w:szCs w:val="20"/>
          <w:bdr w:val="none" w:color="auto" w:sz="0" w:space="0"/>
        </w:rPr>
        <w:t>学校地址：江西省赣州市蓉江新区高校园区</w:t>
      </w:r>
    </w:p>
    <w:p w14:paraId="1A82FA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00"/>
        <w:jc w:val="left"/>
        <w:rPr>
          <w:sz w:val="14"/>
          <w:szCs w:val="14"/>
        </w:rPr>
      </w:pPr>
      <w:r>
        <w:rPr>
          <w:rFonts w:hint="eastAsia" w:ascii="宋体" w:hAnsi="宋体" w:eastAsia="宋体" w:cs="宋体"/>
          <w:i w:val="0"/>
          <w:iCs w:val="0"/>
          <w:caps w:val="0"/>
          <w:color w:val="333333"/>
          <w:spacing w:val="0"/>
          <w:sz w:val="20"/>
          <w:szCs w:val="20"/>
          <w:bdr w:val="none" w:color="auto" w:sz="0" w:space="0"/>
        </w:rPr>
        <w:t>3.江西机电职业技术学院</w:t>
      </w:r>
    </w:p>
    <w:p w14:paraId="683898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00"/>
        <w:jc w:val="left"/>
        <w:rPr>
          <w:sz w:val="14"/>
          <w:szCs w:val="14"/>
        </w:rPr>
      </w:pPr>
      <w:r>
        <w:rPr>
          <w:rFonts w:hint="eastAsia" w:ascii="宋体" w:hAnsi="宋体" w:eastAsia="宋体" w:cs="宋体"/>
          <w:i w:val="0"/>
          <w:iCs w:val="0"/>
          <w:caps w:val="0"/>
          <w:color w:val="333333"/>
          <w:spacing w:val="0"/>
          <w:sz w:val="20"/>
          <w:szCs w:val="20"/>
          <w:bdr w:val="none" w:color="auto" w:sz="0" w:space="0"/>
        </w:rPr>
        <w:t>办学性质：公办全日制普通高等职业院校</w:t>
      </w:r>
    </w:p>
    <w:p w14:paraId="74F3E9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00"/>
        <w:jc w:val="left"/>
        <w:rPr>
          <w:sz w:val="14"/>
          <w:szCs w:val="14"/>
        </w:rPr>
      </w:pPr>
      <w:r>
        <w:rPr>
          <w:rFonts w:hint="eastAsia" w:ascii="宋体" w:hAnsi="宋体" w:eastAsia="宋体" w:cs="宋体"/>
          <w:i w:val="0"/>
          <w:iCs w:val="0"/>
          <w:caps w:val="0"/>
          <w:color w:val="333333"/>
          <w:spacing w:val="0"/>
          <w:sz w:val="20"/>
          <w:szCs w:val="20"/>
          <w:bdr w:val="none" w:color="auto" w:sz="0" w:space="0"/>
        </w:rPr>
        <w:t>学校地址：江西省南昌市经开区枫林东大街168号</w:t>
      </w:r>
    </w:p>
    <w:p w14:paraId="75DC81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20"/>
        <w:jc w:val="left"/>
        <w:rPr>
          <w:sz w:val="14"/>
          <w:szCs w:val="14"/>
        </w:rPr>
      </w:pPr>
      <w:r>
        <w:rPr>
          <w:rStyle w:val="7"/>
          <w:rFonts w:hint="eastAsia" w:ascii="宋体" w:hAnsi="宋体" w:eastAsia="宋体" w:cs="宋体"/>
          <w:b/>
          <w:bCs/>
          <w:i w:val="0"/>
          <w:iCs w:val="0"/>
          <w:caps w:val="0"/>
          <w:color w:val="333333"/>
          <w:spacing w:val="0"/>
          <w:sz w:val="20"/>
          <w:szCs w:val="20"/>
          <w:bdr w:val="none" w:color="auto" w:sz="0" w:space="0"/>
        </w:rPr>
        <w:t>二、招生专业及计划数</w:t>
      </w:r>
    </w:p>
    <w:tbl>
      <w:tblPr>
        <w:tblW w:w="6130" w:type="dxa"/>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460"/>
        <w:gridCol w:w="741"/>
        <w:gridCol w:w="1346"/>
        <w:gridCol w:w="1331"/>
        <w:gridCol w:w="1252"/>
      </w:tblGrid>
      <w:tr w14:paraId="5D753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440" w:hRule="atLeast"/>
          <w:tblCellSpacing w:w="0" w:type="dxa"/>
          <w:jc w:val="center"/>
        </w:trPr>
        <w:tc>
          <w:tcPr>
            <w:tcW w:w="1220" w:type="dxa"/>
            <w:tcBorders>
              <w:top w:val="single" w:color="auto" w:sz="4" w:space="0"/>
              <w:left w:val="single" w:color="auto" w:sz="4" w:space="0"/>
              <w:bottom w:val="single" w:color="auto" w:sz="4" w:space="0"/>
              <w:right w:val="single" w:color="auto" w:sz="4" w:space="0"/>
            </w:tcBorders>
            <w:shd w:val="clear"/>
            <w:tcMar>
              <w:left w:w="70" w:type="dxa"/>
              <w:right w:w="70" w:type="dxa"/>
            </w:tcMar>
            <w:vAlign w:val="center"/>
          </w:tcPr>
          <w:p w14:paraId="0F0185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20"/>
              <w:jc w:val="center"/>
              <w:rPr>
                <w:sz w:val="14"/>
                <w:szCs w:val="14"/>
              </w:rPr>
            </w:pPr>
            <w:r>
              <w:rPr>
                <w:rStyle w:val="7"/>
                <w:rFonts w:hint="eastAsia" w:ascii="宋体" w:hAnsi="宋体" w:eastAsia="宋体" w:cs="宋体"/>
                <w:b/>
                <w:bCs/>
                <w:sz w:val="16"/>
                <w:szCs w:val="16"/>
                <w:bdr w:val="none" w:color="auto" w:sz="0" w:space="0"/>
              </w:rPr>
              <w:t>专业</w:t>
            </w:r>
          </w:p>
          <w:p w14:paraId="0EAD8F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20"/>
              <w:jc w:val="center"/>
              <w:rPr>
                <w:sz w:val="14"/>
                <w:szCs w:val="14"/>
              </w:rPr>
            </w:pPr>
            <w:r>
              <w:rPr>
                <w:rStyle w:val="7"/>
                <w:rFonts w:hint="eastAsia" w:ascii="宋体" w:hAnsi="宋体" w:eastAsia="宋体" w:cs="宋体"/>
                <w:b/>
                <w:bCs/>
                <w:sz w:val="16"/>
                <w:szCs w:val="16"/>
                <w:bdr w:val="none" w:color="auto" w:sz="0" w:space="0"/>
              </w:rPr>
              <w:t>(专业代码)</w:t>
            </w:r>
          </w:p>
        </w:tc>
        <w:tc>
          <w:tcPr>
            <w:tcW w:w="530" w:type="dxa"/>
            <w:tcBorders>
              <w:top w:val="single" w:color="auto" w:sz="4" w:space="0"/>
              <w:left w:val="single" w:color="auto" w:sz="4" w:space="0"/>
              <w:bottom w:val="single" w:color="auto" w:sz="4" w:space="0"/>
              <w:right w:val="single" w:color="auto" w:sz="4" w:space="0"/>
            </w:tcBorders>
            <w:shd w:val="clear"/>
            <w:tcMar>
              <w:left w:w="70" w:type="dxa"/>
              <w:right w:w="70" w:type="dxa"/>
            </w:tcMar>
            <w:vAlign w:val="center"/>
          </w:tcPr>
          <w:p w14:paraId="295B05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20"/>
              <w:jc w:val="center"/>
              <w:rPr>
                <w:sz w:val="14"/>
                <w:szCs w:val="14"/>
              </w:rPr>
            </w:pPr>
            <w:r>
              <w:rPr>
                <w:rStyle w:val="7"/>
                <w:rFonts w:hint="eastAsia" w:ascii="宋体" w:hAnsi="宋体" w:eastAsia="宋体" w:cs="宋体"/>
                <w:b/>
                <w:bCs/>
                <w:sz w:val="16"/>
                <w:szCs w:val="16"/>
                <w:bdr w:val="none" w:color="auto" w:sz="0" w:space="0"/>
              </w:rPr>
              <w:t>拟招计划</w:t>
            </w:r>
          </w:p>
        </w:tc>
        <w:tc>
          <w:tcPr>
            <w:tcW w:w="1510" w:type="dxa"/>
            <w:tcBorders>
              <w:top w:val="single" w:color="auto" w:sz="4" w:space="0"/>
              <w:left w:val="single" w:color="auto" w:sz="4" w:space="0"/>
              <w:bottom w:val="single" w:color="auto" w:sz="4" w:space="0"/>
              <w:right w:val="single" w:color="auto" w:sz="4" w:space="0"/>
            </w:tcBorders>
            <w:shd w:val="clear"/>
            <w:tcMar>
              <w:left w:w="70" w:type="dxa"/>
              <w:right w:w="70" w:type="dxa"/>
            </w:tcMar>
            <w:vAlign w:val="center"/>
          </w:tcPr>
          <w:p w14:paraId="2B3E4A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20"/>
              <w:jc w:val="center"/>
              <w:rPr>
                <w:sz w:val="14"/>
                <w:szCs w:val="14"/>
              </w:rPr>
            </w:pPr>
            <w:r>
              <w:rPr>
                <w:rStyle w:val="7"/>
                <w:rFonts w:hint="eastAsia" w:ascii="宋体" w:hAnsi="宋体" w:eastAsia="宋体" w:cs="宋体"/>
                <w:b/>
                <w:bCs/>
                <w:sz w:val="16"/>
                <w:szCs w:val="16"/>
                <w:bdr w:val="none" w:color="auto" w:sz="0" w:space="0"/>
              </w:rPr>
              <w:t>联合培养学校</w:t>
            </w:r>
          </w:p>
        </w:tc>
        <w:tc>
          <w:tcPr>
            <w:tcW w:w="1490" w:type="dxa"/>
            <w:tcBorders>
              <w:top w:val="single" w:color="auto" w:sz="4" w:space="0"/>
              <w:left w:val="single" w:color="auto" w:sz="4" w:space="0"/>
              <w:bottom w:val="single" w:color="auto" w:sz="4" w:space="0"/>
              <w:right w:val="single" w:color="auto" w:sz="4" w:space="0"/>
            </w:tcBorders>
            <w:shd w:val="clear"/>
            <w:tcMar>
              <w:left w:w="70" w:type="dxa"/>
              <w:right w:w="70" w:type="dxa"/>
            </w:tcMar>
            <w:vAlign w:val="center"/>
          </w:tcPr>
          <w:p w14:paraId="4A2322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20"/>
              <w:jc w:val="center"/>
              <w:rPr>
                <w:sz w:val="14"/>
                <w:szCs w:val="14"/>
              </w:rPr>
            </w:pPr>
            <w:r>
              <w:rPr>
                <w:rStyle w:val="7"/>
                <w:rFonts w:hint="eastAsia" w:ascii="宋体" w:hAnsi="宋体" w:eastAsia="宋体" w:cs="宋体"/>
                <w:b/>
                <w:bCs/>
                <w:sz w:val="16"/>
                <w:szCs w:val="16"/>
                <w:bdr w:val="none" w:color="auto" w:sz="0" w:space="0"/>
              </w:rPr>
              <w:t>就读地点</w:t>
            </w:r>
          </w:p>
        </w:tc>
        <w:tc>
          <w:tcPr>
            <w:tcW w:w="1390" w:type="dxa"/>
            <w:tcBorders>
              <w:top w:val="single" w:color="auto" w:sz="4" w:space="0"/>
              <w:left w:val="single" w:color="auto" w:sz="4" w:space="0"/>
              <w:bottom w:val="single" w:color="auto" w:sz="4" w:space="0"/>
              <w:right w:val="single" w:color="auto" w:sz="4" w:space="0"/>
            </w:tcBorders>
            <w:shd w:val="clear"/>
            <w:tcMar>
              <w:left w:w="70" w:type="dxa"/>
              <w:right w:w="70" w:type="dxa"/>
            </w:tcMar>
            <w:vAlign w:val="center"/>
          </w:tcPr>
          <w:p w14:paraId="1E72CA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20"/>
              <w:jc w:val="center"/>
              <w:rPr>
                <w:sz w:val="14"/>
                <w:szCs w:val="14"/>
              </w:rPr>
            </w:pPr>
            <w:r>
              <w:rPr>
                <w:rStyle w:val="7"/>
                <w:rFonts w:hint="eastAsia" w:ascii="宋体" w:hAnsi="宋体" w:eastAsia="宋体" w:cs="宋体"/>
                <w:b/>
                <w:bCs/>
                <w:sz w:val="16"/>
                <w:szCs w:val="16"/>
                <w:bdr w:val="none" w:color="auto" w:sz="0" w:space="0"/>
              </w:rPr>
              <w:t>备注</w:t>
            </w:r>
          </w:p>
        </w:tc>
      </w:tr>
      <w:tr w14:paraId="10971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470" w:hRule="atLeast"/>
          <w:tblCellSpacing w:w="0" w:type="dxa"/>
          <w:jc w:val="center"/>
        </w:trPr>
        <w:tc>
          <w:tcPr>
            <w:tcW w:w="1220" w:type="dxa"/>
            <w:tcBorders>
              <w:top w:val="nil"/>
              <w:left w:val="single" w:color="auto" w:sz="4" w:space="0"/>
              <w:bottom w:val="single" w:color="auto" w:sz="4" w:space="0"/>
              <w:right w:val="single" w:color="auto" w:sz="4" w:space="0"/>
            </w:tcBorders>
            <w:shd w:val="clear"/>
            <w:tcMar>
              <w:left w:w="70" w:type="dxa"/>
              <w:right w:w="70" w:type="dxa"/>
            </w:tcMar>
            <w:vAlign w:val="center"/>
          </w:tcPr>
          <w:p w14:paraId="02CCF7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20"/>
              <w:jc w:val="center"/>
              <w:rPr>
                <w:sz w:val="14"/>
                <w:szCs w:val="14"/>
              </w:rPr>
            </w:pPr>
            <w:r>
              <w:rPr>
                <w:rFonts w:hint="eastAsia" w:ascii="宋体" w:hAnsi="宋体" w:eastAsia="宋体" w:cs="宋体"/>
                <w:sz w:val="16"/>
                <w:szCs w:val="16"/>
                <w:bdr w:val="none" w:color="auto" w:sz="0" w:space="0"/>
              </w:rPr>
              <w:t>临床医学</w:t>
            </w:r>
          </w:p>
          <w:p w14:paraId="3F0904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center"/>
              <w:rPr>
                <w:sz w:val="14"/>
                <w:szCs w:val="14"/>
              </w:rPr>
            </w:pPr>
            <w:r>
              <w:rPr>
                <w:rFonts w:hint="eastAsia" w:ascii="宋体" w:hAnsi="宋体" w:eastAsia="宋体" w:cs="宋体"/>
                <w:sz w:val="16"/>
                <w:szCs w:val="16"/>
                <w:bdr w:val="none" w:color="auto" w:sz="0" w:space="0"/>
              </w:rPr>
              <w:t>（100201K）</w:t>
            </w:r>
          </w:p>
        </w:tc>
        <w:tc>
          <w:tcPr>
            <w:tcW w:w="530" w:type="dxa"/>
            <w:tcBorders>
              <w:top w:val="nil"/>
              <w:left w:val="single" w:color="auto" w:sz="4" w:space="0"/>
              <w:bottom w:val="single" w:color="auto" w:sz="4" w:space="0"/>
              <w:right w:val="single" w:color="auto" w:sz="4" w:space="0"/>
            </w:tcBorders>
            <w:shd w:val="clear"/>
            <w:tcMar>
              <w:left w:w="70" w:type="dxa"/>
              <w:right w:w="70" w:type="dxa"/>
            </w:tcMar>
            <w:vAlign w:val="center"/>
          </w:tcPr>
          <w:p w14:paraId="03F85D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20"/>
              <w:jc w:val="center"/>
              <w:rPr>
                <w:sz w:val="14"/>
                <w:szCs w:val="14"/>
              </w:rPr>
            </w:pPr>
            <w:r>
              <w:rPr>
                <w:rFonts w:hint="eastAsia" w:ascii="宋体" w:hAnsi="宋体" w:eastAsia="宋体" w:cs="宋体"/>
                <w:sz w:val="16"/>
                <w:szCs w:val="16"/>
                <w:bdr w:val="none" w:color="auto" w:sz="0" w:space="0"/>
              </w:rPr>
              <w:t>6</w:t>
            </w:r>
          </w:p>
        </w:tc>
        <w:tc>
          <w:tcPr>
            <w:tcW w:w="1510" w:type="dxa"/>
            <w:tcBorders>
              <w:top w:val="nil"/>
              <w:left w:val="single" w:color="auto" w:sz="4" w:space="0"/>
              <w:bottom w:val="single" w:color="auto" w:sz="4" w:space="0"/>
              <w:right w:val="single" w:color="auto" w:sz="4" w:space="0"/>
            </w:tcBorders>
            <w:shd w:val="clear"/>
            <w:tcMar>
              <w:left w:w="70" w:type="dxa"/>
              <w:right w:w="70" w:type="dxa"/>
            </w:tcMar>
            <w:vAlign w:val="center"/>
          </w:tcPr>
          <w:p w14:paraId="28A0ED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20"/>
              <w:jc w:val="center"/>
              <w:rPr>
                <w:sz w:val="14"/>
                <w:szCs w:val="14"/>
              </w:rPr>
            </w:pPr>
            <w:r>
              <w:rPr>
                <w:rFonts w:hint="eastAsia" w:ascii="宋体" w:hAnsi="宋体" w:eastAsia="宋体" w:cs="宋体"/>
                <w:sz w:val="16"/>
                <w:szCs w:val="16"/>
                <w:bdr w:val="none" w:color="auto" w:sz="0" w:space="0"/>
              </w:rPr>
              <w:t>江西医学高等专科学校</w:t>
            </w:r>
          </w:p>
        </w:tc>
        <w:tc>
          <w:tcPr>
            <w:tcW w:w="1490" w:type="dxa"/>
            <w:tcBorders>
              <w:top w:val="nil"/>
              <w:left w:val="single" w:color="auto" w:sz="4" w:space="0"/>
              <w:bottom w:val="single" w:color="auto" w:sz="4" w:space="0"/>
              <w:right w:val="single" w:color="auto" w:sz="4" w:space="0"/>
            </w:tcBorders>
            <w:shd w:val="clear"/>
            <w:tcMar>
              <w:left w:w="70" w:type="dxa"/>
              <w:right w:w="70" w:type="dxa"/>
            </w:tcMar>
            <w:vAlign w:val="center"/>
          </w:tcPr>
          <w:p w14:paraId="599056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20"/>
              <w:jc w:val="center"/>
              <w:rPr>
                <w:sz w:val="14"/>
                <w:szCs w:val="14"/>
              </w:rPr>
            </w:pPr>
            <w:r>
              <w:rPr>
                <w:rFonts w:hint="eastAsia" w:ascii="宋体" w:hAnsi="宋体" w:eastAsia="宋体" w:cs="宋体"/>
                <w:sz w:val="16"/>
                <w:szCs w:val="16"/>
                <w:bdr w:val="none" w:color="auto" w:sz="0" w:space="0"/>
              </w:rPr>
              <w:t>江西医学高等专科学校</w:t>
            </w:r>
          </w:p>
        </w:tc>
        <w:tc>
          <w:tcPr>
            <w:tcW w:w="1390" w:type="dxa"/>
            <w:vMerge w:val="restart"/>
            <w:tcBorders>
              <w:top w:val="nil"/>
              <w:left w:val="single" w:color="auto" w:sz="4" w:space="0"/>
              <w:bottom w:val="single" w:color="auto" w:sz="4" w:space="0"/>
              <w:right w:val="single" w:color="auto" w:sz="4" w:space="0"/>
            </w:tcBorders>
            <w:shd w:val="clear"/>
            <w:tcMar>
              <w:left w:w="70" w:type="dxa"/>
              <w:right w:w="70" w:type="dxa"/>
            </w:tcMar>
            <w:vAlign w:val="top"/>
          </w:tcPr>
          <w:p w14:paraId="23C154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left"/>
              <w:rPr>
                <w:sz w:val="14"/>
                <w:szCs w:val="14"/>
              </w:rPr>
            </w:pPr>
            <w:r>
              <w:rPr>
                <w:rFonts w:hint="eastAsia" w:ascii="宋体" w:hAnsi="宋体" w:eastAsia="宋体" w:cs="宋体"/>
                <w:sz w:val="16"/>
                <w:szCs w:val="16"/>
                <w:bdr w:val="none" w:color="auto" w:sz="0" w:space="0"/>
              </w:rPr>
              <w:t>专升本医学本科毕业生，专业必须与专科专业相同，其本科学历方可作为报考医师资格的学历依据，请谨慎报考。</w:t>
            </w:r>
          </w:p>
        </w:tc>
      </w:tr>
      <w:tr w14:paraId="60879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30" w:hRule="atLeast"/>
          <w:tblCellSpacing w:w="0" w:type="dxa"/>
          <w:jc w:val="center"/>
        </w:trPr>
        <w:tc>
          <w:tcPr>
            <w:tcW w:w="1220" w:type="dxa"/>
            <w:tcBorders>
              <w:top w:val="nil"/>
              <w:left w:val="single" w:color="auto" w:sz="4" w:space="0"/>
              <w:bottom w:val="single" w:color="auto" w:sz="4" w:space="0"/>
              <w:right w:val="single" w:color="auto" w:sz="4" w:space="0"/>
            </w:tcBorders>
            <w:shd w:val="clear"/>
            <w:tcMar>
              <w:left w:w="70" w:type="dxa"/>
              <w:right w:w="70" w:type="dxa"/>
            </w:tcMar>
            <w:vAlign w:val="center"/>
          </w:tcPr>
          <w:p w14:paraId="49FE25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20"/>
              <w:jc w:val="center"/>
              <w:rPr>
                <w:sz w:val="14"/>
                <w:szCs w:val="14"/>
              </w:rPr>
            </w:pPr>
            <w:r>
              <w:rPr>
                <w:rFonts w:hint="eastAsia" w:ascii="宋体" w:hAnsi="宋体" w:eastAsia="宋体" w:cs="宋体"/>
                <w:sz w:val="16"/>
                <w:szCs w:val="16"/>
                <w:bdr w:val="none" w:color="auto" w:sz="0" w:space="0"/>
              </w:rPr>
              <w:t>预防医学</w:t>
            </w:r>
          </w:p>
          <w:p w14:paraId="685C62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center"/>
              <w:rPr>
                <w:sz w:val="14"/>
                <w:szCs w:val="14"/>
              </w:rPr>
            </w:pPr>
            <w:r>
              <w:rPr>
                <w:rFonts w:hint="eastAsia" w:ascii="宋体" w:hAnsi="宋体" w:eastAsia="宋体" w:cs="宋体"/>
                <w:sz w:val="16"/>
                <w:szCs w:val="16"/>
                <w:bdr w:val="none" w:color="auto" w:sz="0" w:space="0"/>
              </w:rPr>
              <w:t>（100401K）</w:t>
            </w:r>
          </w:p>
        </w:tc>
        <w:tc>
          <w:tcPr>
            <w:tcW w:w="530" w:type="dxa"/>
            <w:tcBorders>
              <w:top w:val="nil"/>
              <w:left w:val="single" w:color="auto" w:sz="4" w:space="0"/>
              <w:bottom w:val="single" w:color="auto" w:sz="4" w:space="0"/>
              <w:right w:val="single" w:color="auto" w:sz="4" w:space="0"/>
            </w:tcBorders>
            <w:shd w:val="clear"/>
            <w:tcMar>
              <w:left w:w="70" w:type="dxa"/>
              <w:right w:w="70" w:type="dxa"/>
            </w:tcMar>
            <w:vAlign w:val="center"/>
          </w:tcPr>
          <w:p w14:paraId="6CF200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20"/>
              <w:jc w:val="center"/>
              <w:rPr>
                <w:sz w:val="14"/>
                <w:szCs w:val="14"/>
              </w:rPr>
            </w:pPr>
            <w:r>
              <w:rPr>
                <w:rFonts w:hint="eastAsia" w:ascii="宋体" w:hAnsi="宋体" w:eastAsia="宋体" w:cs="宋体"/>
                <w:sz w:val="16"/>
                <w:szCs w:val="16"/>
                <w:bdr w:val="none" w:color="auto" w:sz="0" w:space="0"/>
              </w:rPr>
              <w:t>6</w:t>
            </w:r>
          </w:p>
        </w:tc>
        <w:tc>
          <w:tcPr>
            <w:tcW w:w="1510" w:type="dxa"/>
            <w:tcBorders>
              <w:top w:val="nil"/>
              <w:left w:val="single" w:color="auto" w:sz="4" w:space="0"/>
              <w:bottom w:val="single" w:color="auto" w:sz="4" w:space="0"/>
              <w:right w:val="single" w:color="auto" w:sz="4" w:space="0"/>
            </w:tcBorders>
            <w:shd w:val="clear"/>
            <w:tcMar>
              <w:left w:w="70" w:type="dxa"/>
              <w:right w:w="70" w:type="dxa"/>
            </w:tcMar>
            <w:vAlign w:val="center"/>
          </w:tcPr>
          <w:p w14:paraId="61117F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20"/>
              <w:jc w:val="center"/>
              <w:rPr>
                <w:sz w:val="14"/>
                <w:szCs w:val="14"/>
              </w:rPr>
            </w:pPr>
            <w:r>
              <w:rPr>
                <w:rFonts w:hint="eastAsia" w:ascii="宋体" w:hAnsi="宋体" w:eastAsia="宋体" w:cs="宋体"/>
                <w:sz w:val="16"/>
                <w:szCs w:val="16"/>
                <w:bdr w:val="none" w:color="auto" w:sz="0" w:space="0"/>
              </w:rPr>
              <w:t>赣南卫生健康职业学院</w:t>
            </w:r>
          </w:p>
        </w:tc>
        <w:tc>
          <w:tcPr>
            <w:tcW w:w="1490" w:type="dxa"/>
            <w:tcBorders>
              <w:top w:val="nil"/>
              <w:left w:val="single" w:color="auto" w:sz="4" w:space="0"/>
              <w:bottom w:val="single" w:color="auto" w:sz="4" w:space="0"/>
              <w:right w:val="single" w:color="auto" w:sz="4" w:space="0"/>
            </w:tcBorders>
            <w:shd w:val="clear"/>
            <w:tcMar>
              <w:left w:w="70" w:type="dxa"/>
              <w:right w:w="70" w:type="dxa"/>
            </w:tcMar>
            <w:vAlign w:val="center"/>
          </w:tcPr>
          <w:p w14:paraId="5487CE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20"/>
              <w:jc w:val="center"/>
              <w:rPr>
                <w:sz w:val="14"/>
                <w:szCs w:val="14"/>
              </w:rPr>
            </w:pPr>
            <w:r>
              <w:rPr>
                <w:rFonts w:hint="eastAsia" w:ascii="宋体" w:hAnsi="宋体" w:eastAsia="宋体" w:cs="宋体"/>
                <w:sz w:val="16"/>
                <w:szCs w:val="16"/>
                <w:bdr w:val="none" w:color="auto" w:sz="0" w:space="0"/>
              </w:rPr>
              <w:t>赣南卫生健康职业学院</w:t>
            </w:r>
          </w:p>
        </w:tc>
        <w:tc>
          <w:tcPr>
            <w:tcW w:w="1390" w:type="dxa"/>
            <w:vMerge w:val="continue"/>
            <w:tcBorders>
              <w:top w:val="nil"/>
              <w:left w:val="single" w:color="auto" w:sz="4" w:space="0"/>
              <w:bottom w:val="single" w:color="auto" w:sz="4" w:space="0"/>
              <w:right w:val="single" w:color="auto" w:sz="4" w:space="0"/>
            </w:tcBorders>
            <w:shd w:val="clear"/>
            <w:tcMar>
              <w:left w:w="70" w:type="dxa"/>
              <w:right w:w="70" w:type="dxa"/>
            </w:tcMar>
            <w:vAlign w:val="top"/>
          </w:tcPr>
          <w:p w14:paraId="62DD5000">
            <w:pPr>
              <w:rPr>
                <w:rFonts w:hint="eastAsia" w:ascii="宋体"/>
                <w:sz w:val="24"/>
                <w:szCs w:val="24"/>
              </w:rPr>
            </w:pPr>
          </w:p>
        </w:tc>
      </w:tr>
      <w:tr w14:paraId="42DA6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610" w:hRule="atLeast"/>
          <w:tblCellSpacing w:w="0" w:type="dxa"/>
          <w:jc w:val="center"/>
        </w:trPr>
        <w:tc>
          <w:tcPr>
            <w:tcW w:w="1220" w:type="dxa"/>
            <w:tcBorders>
              <w:top w:val="nil"/>
              <w:left w:val="single" w:color="auto" w:sz="4" w:space="0"/>
              <w:bottom w:val="single" w:color="auto" w:sz="4" w:space="0"/>
              <w:right w:val="single" w:color="auto" w:sz="4" w:space="0"/>
            </w:tcBorders>
            <w:shd w:val="clear"/>
            <w:tcMar>
              <w:left w:w="70" w:type="dxa"/>
              <w:right w:w="70" w:type="dxa"/>
            </w:tcMar>
            <w:vAlign w:val="center"/>
          </w:tcPr>
          <w:p w14:paraId="6B75F8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jc w:val="center"/>
              <w:rPr>
                <w:sz w:val="14"/>
                <w:szCs w:val="14"/>
              </w:rPr>
            </w:pPr>
            <w:r>
              <w:rPr>
                <w:rFonts w:hint="eastAsia" w:ascii="宋体" w:hAnsi="宋体" w:eastAsia="宋体" w:cs="宋体"/>
                <w:sz w:val="16"/>
                <w:szCs w:val="16"/>
                <w:bdr w:val="none" w:color="auto" w:sz="0" w:space="0"/>
              </w:rPr>
              <w:t>智能制造工程（080213T）</w:t>
            </w:r>
          </w:p>
        </w:tc>
        <w:tc>
          <w:tcPr>
            <w:tcW w:w="530" w:type="dxa"/>
            <w:tcBorders>
              <w:top w:val="nil"/>
              <w:left w:val="single" w:color="auto" w:sz="4" w:space="0"/>
              <w:bottom w:val="single" w:color="auto" w:sz="4" w:space="0"/>
              <w:right w:val="single" w:color="auto" w:sz="4" w:space="0"/>
            </w:tcBorders>
            <w:shd w:val="clear"/>
            <w:tcMar>
              <w:left w:w="70" w:type="dxa"/>
              <w:right w:w="70" w:type="dxa"/>
            </w:tcMar>
            <w:vAlign w:val="center"/>
          </w:tcPr>
          <w:p w14:paraId="483E75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20"/>
              <w:jc w:val="center"/>
              <w:rPr>
                <w:sz w:val="14"/>
                <w:szCs w:val="14"/>
              </w:rPr>
            </w:pPr>
            <w:r>
              <w:rPr>
                <w:rFonts w:hint="eastAsia" w:ascii="宋体" w:hAnsi="宋体" w:eastAsia="宋体" w:cs="宋体"/>
                <w:sz w:val="16"/>
                <w:szCs w:val="16"/>
                <w:bdr w:val="none" w:color="auto" w:sz="0" w:space="0"/>
              </w:rPr>
              <w:t>6</w:t>
            </w:r>
          </w:p>
        </w:tc>
        <w:tc>
          <w:tcPr>
            <w:tcW w:w="1510" w:type="dxa"/>
            <w:tcBorders>
              <w:top w:val="nil"/>
              <w:left w:val="single" w:color="auto" w:sz="4" w:space="0"/>
              <w:bottom w:val="single" w:color="auto" w:sz="4" w:space="0"/>
              <w:right w:val="single" w:color="auto" w:sz="4" w:space="0"/>
            </w:tcBorders>
            <w:shd w:val="clear"/>
            <w:tcMar>
              <w:left w:w="70" w:type="dxa"/>
              <w:right w:w="70" w:type="dxa"/>
            </w:tcMar>
            <w:vAlign w:val="center"/>
          </w:tcPr>
          <w:p w14:paraId="64EF57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20"/>
              <w:jc w:val="center"/>
              <w:rPr>
                <w:sz w:val="14"/>
                <w:szCs w:val="14"/>
              </w:rPr>
            </w:pPr>
            <w:r>
              <w:rPr>
                <w:rFonts w:hint="eastAsia" w:ascii="宋体" w:hAnsi="宋体" w:eastAsia="宋体" w:cs="宋体"/>
                <w:sz w:val="16"/>
                <w:szCs w:val="16"/>
                <w:bdr w:val="none" w:color="auto" w:sz="0" w:space="0"/>
              </w:rPr>
              <w:t>江西机电职业技术学院</w:t>
            </w:r>
          </w:p>
        </w:tc>
        <w:tc>
          <w:tcPr>
            <w:tcW w:w="1490" w:type="dxa"/>
            <w:tcBorders>
              <w:top w:val="nil"/>
              <w:left w:val="single" w:color="auto" w:sz="4" w:space="0"/>
              <w:bottom w:val="single" w:color="auto" w:sz="4" w:space="0"/>
              <w:right w:val="single" w:color="auto" w:sz="4" w:space="0"/>
            </w:tcBorders>
            <w:shd w:val="clear"/>
            <w:tcMar>
              <w:left w:w="70" w:type="dxa"/>
              <w:right w:w="70" w:type="dxa"/>
            </w:tcMar>
            <w:vAlign w:val="center"/>
          </w:tcPr>
          <w:p w14:paraId="062F21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20"/>
              <w:jc w:val="center"/>
              <w:rPr>
                <w:sz w:val="14"/>
                <w:szCs w:val="14"/>
              </w:rPr>
            </w:pPr>
            <w:r>
              <w:rPr>
                <w:rFonts w:hint="eastAsia" w:ascii="宋体" w:hAnsi="宋体" w:eastAsia="宋体" w:cs="宋体"/>
                <w:sz w:val="16"/>
                <w:szCs w:val="16"/>
                <w:bdr w:val="none" w:color="auto" w:sz="0" w:space="0"/>
              </w:rPr>
              <w:t>江西机电职业技术学院</w:t>
            </w:r>
          </w:p>
        </w:tc>
        <w:tc>
          <w:tcPr>
            <w:tcW w:w="1390" w:type="dxa"/>
            <w:tcBorders>
              <w:top w:val="nil"/>
              <w:left w:val="single" w:color="auto" w:sz="4" w:space="0"/>
              <w:bottom w:val="single" w:color="auto" w:sz="4" w:space="0"/>
              <w:right w:val="single" w:color="auto" w:sz="4" w:space="0"/>
            </w:tcBorders>
            <w:shd w:val="clear"/>
            <w:tcMar>
              <w:left w:w="70" w:type="dxa"/>
              <w:right w:w="70" w:type="dxa"/>
            </w:tcMar>
            <w:vAlign w:val="top"/>
          </w:tcPr>
          <w:p w14:paraId="124B10C8">
            <w:pPr>
              <w:keepNext w:val="0"/>
              <w:keepLines w:val="0"/>
              <w:widowControl/>
              <w:suppressLineNumbers w:val="0"/>
              <w:spacing w:before="0" w:beforeAutospacing="0" w:after="0" w:afterAutospacing="0"/>
              <w:ind w:left="0" w:right="0"/>
              <w:jc w:val="left"/>
            </w:pPr>
          </w:p>
        </w:tc>
      </w:tr>
    </w:tbl>
    <w:p w14:paraId="24E23D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jc w:val="left"/>
        <w:rPr>
          <w:sz w:val="14"/>
          <w:szCs w:val="14"/>
        </w:rPr>
      </w:pPr>
      <w:r>
        <w:rPr>
          <w:rStyle w:val="7"/>
          <w:rFonts w:hint="eastAsia" w:ascii="宋体" w:hAnsi="宋体" w:eastAsia="宋体" w:cs="宋体"/>
          <w:b/>
          <w:bCs/>
          <w:i w:val="0"/>
          <w:iCs w:val="0"/>
          <w:caps w:val="0"/>
          <w:color w:val="000000"/>
          <w:spacing w:val="0"/>
          <w:sz w:val="20"/>
          <w:szCs w:val="20"/>
          <w:bdr w:val="none" w:color="auto" w:sz="0" w:space="0"/>
        </w:rPr>
        <w:t>三、招生对象</w:t>
      </w:r>
    </w:p>
    <w:p w14:paraId="6CD4F4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rPr>
          <w:sz w:val="14"/>
          <w:szCs w:val="14"/>
        </w:rPr>
      </w:pPr>
      <w:r>
        <w:rPr>
          <w:rFonts w:hint="eastAsia" w:ascii="宋体" w:hAnsi="宋体" w:eastAsia="宋体" w:cs="宋体"/>
          <w:i w:val="0"/>
          <w:iCs w:val="0"/>
          <w:caps w:val="0"/>
          <w:color w:val="333333"/>
          <w:spacing w:val="0"/>
          <w:sz w:val="20"/>
          <w:szCs w:val="20"/>
          <w:bdr w:val="none" w:color="auto" w:sz="0" w:space="0"/>
        </w:rPr>
        <w:t>通过江西省2025年退役大学生士兵免试专升本招生专项计划资格审核的学生（含2025年3月退役大学生士兵），在2025年7月31日前可取得或已取得毕业证，且符合下列条件之一：</w:t>
      </w:r>
    </w:p>
    <w:p w14:paraId="3A939A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rPr>
          <w:sz w:val="14"/>
          <w:szCs w:val="14"/>
        </w:rPr>
      </w:pPr>
      <w:r>
        <w:rPr>
          <w:rFonts w:hint="eastAsia" w:ascii="宋体" w:hAnsi="宋体" w:eastAsia="宋体" w:cs="宋体"/>
          <w:i w:val="0"/>
          <w:iCs w:val="0"/>
          <w:caps w:val="0"/>
          <w:color w:val="333333"/>
          <w:spacing w:val="0"/>
          <w:sz w:val="20"/>
          <w:szCs w:val="20"/>
          <w:bdr w:val="none" w:color="auto" w:sz="0" w:space="0"/>
        </w:rPr>
        <w:t>1.江西省普通高校高职（专科）学生在校期间或毕业后应征入伍。</w:t>
      </w:r>
    </w:p>
    <w:p w14:paraId="41998A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jc w:val="left"/>
        <w:rPr>
          <w:sz w:val="14"/>
          <w:szCs w:val="14"/>
        </w:rPr>
      </w:pPr>
      <w:r>
        <w:rPr>
          <w:rFonts w:hint="eastAsia" w:ascii="宋体" w:hAnsi="宋体" w:eastAsia="宋体" w:cs="宋体"/>
          <w:i w:val="0"/>
          <w:iCs w:val="0"/>
          <w:caps w:val="0"/>
          <w:color w:val="333333"/>
          <w:spacing w:val="0"/>
          <w:sz w:val="20"/>
          <w:szCs w:val="20"/>
          <w:bdr w:val="none" w:color="auto" w:sz="0" w:space="0"/>
        </w:rPr>
        <w:t>2.外省普通高校高职（专科）学生在校期间或毕业后在江西应征入伍。</w:t>
      </w:r>
    </w:p>
    <w:p w14:paraId="7B35D5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jc w:val="left"/>
        <w:rPr>
          <w:sz w:val="14"/>
          <w:szCs w:val="14"/>
        </w:rPr>
      </w:pPr>
      <w:r>
        <w:rPr>
          <w:rStyle w:val="7"/>
          <w:rFonts w:hint="eastAsia" w:ascii="宋体" w:hAnsi="宋体" w:eastAsia="宋体" w:cs="宋体"/>
          <w:b/>
          <w:bCs/>
          <w:i w:val="0"/>
          <w:iCs w:val="0"/>
          <w:caps w:val="0"/>
          <w:color w:val="000000"/>
          <w:spacing w:val="0"/>
          <w:sz w:val="20"/>
          <w:szCs w:val="20"/>
          <w:bdr w:val="none" w:color="auto" w:sz="0" w:space="0"/>
        </w:rPr>
        <w:t>四、报名条件：</w:t>
      </w:r>
      <w:r>
        <w:rPr>
          <w:rFonts w:hint="eastAsia" w:ascii="宋体" w:hAnsi="宋体" w:eastAsia="宋体" w:cs="宋体"/>
          <w:i w:val="0"/>
          <w:iCs w:val="0"/>
          <w:caps w:val="0"/>
          <w:color w:val="000000"/>
          <w:spacing w:val="0"/>
          <w:sz w:val="20"/>
          <w:szCs w:val="20"/>
          <w:bdr w:val="none" w:color="auto" w:sz="0" w:space="0"/>
        </w:rPr>
        <w:t>所有报名考生须满足以下条件</w:t>
      </w:r>
    </w:p>
    <w:p w14:paraId="7FB53F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jc w:val="left"/>
        <w:rPr>
          <w:sz w:val="14"/>
          <w:szCs w:val="14"/>
        </w:rPr>
      </w:pPr>
      <w:r>
        <w:rPr>
          <w:rFonts w:hint="eastAsia" w:ascii="宋体" w:hAnsi="宋体" w:eastAsia="宋体" w:cs="宋体"/>
          <w:i w:val="0"/>
          <w:iCs w:val="0"/>
          <w:caps w:val="0"/>
          <w:color w:val="000000"/>
          <w:spacing w:val="0"/>
          <w:sz w:val="20"/>
          <w:szCs w:val="20"/>
          <w:bdr w:val="none" w:color="auto" w:sz="0" w:space="0"/>
        </w:rPr>
        <w:t>1.遵守《中华人民共和国宪法》及其他法律法规。</w:t>
      </w:r>
    </w:p>
    <w:p w14:paraId="44B7C6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jc w:val="both"/>
        <w:rPr>
          <w:sz w:val="14"/>
          <w:szCs w:val="14"/>
        </w:rPr>
      </w:pPr>
      <w:r>
        <w:rPr>
          <w:rFonts w:hint="eastAsia" w:ascii="宋体" w:hAnsi="宋体" w:eastAsia="宋体" w:cs="宋体"/>
          <w:i w:val="0"/>
          <w:iCs w:val="0"/>
          <w:caps w:val="0"/>
          <w:color w:val="000000"/>
          <w:spacing w:val="0"/>
          <w:sz w:val="20"/>
          <w:szCs w:val="20"/>
          <w:bdr w:val="none" w:color="auto" w:sz="0" w:space="0"/>
        </w:rPr>
        <w:t>2.</w:t>
      </w:r>
      <w:r>
        <w:rPr>
          <w:rFonts w:hint="eastAsia" w:ascii="宋体" w:hAnsi="宋体" w:eastAsia="宋体" w:cs="宋体"/>
          <w:i w:val="0"/>
          <w:iCs w:val="0"/>
          <w:caps w:val="0"/>
          <w:color w:val="333333"/>
          <w:spacing w:val="0"/>
          <w:sz w:val="20"/>
          <w:szCs w:val="20"/>
          <w:bdr w:val="none" w:color="auto" w:sz="0" w:space="0"/>
        </w:rPr>
        <w:t>身体健康，各专业身体要求按教育部等三部委印发的《普通高等学校招生体检工作指导意见》执行。</w:t>
      </w:r>
    </w:p>
    <w:p w14:paraId="6338E8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jc w:val="left"/>
        <w:rPr>
          <w:sz w:val="14"/>
          <w:szCs w:val="14"/>
        </w:rPr>
      </w:pPr>
      <w:r>
        <w:rPr>
          <w:rFonts w:hint="eastAsia" w:ascii="宋体" w:hAnsi="宋体" w:eastAsia="宋体" w:cs="宋体"/>
          <w:i w:val="0"/>
          <w:iCs w:val="0"/>
          <w:caps w:val="0"/>
          <w:color w:val="000000"/>
          <w:spacing w:val="0"/>
          <w:sz w:val="20"/>
          <w:szCs w:val="20"/>
          <w:bdr w:val="none" w:color="auto" w:sz="0" w:space="0"/>
        </w:rPr>
        <w:t>3.高职（专科）学习期间无记过及以上纪律处分，或受到纪律处分但报名前已解除处分。</w:t>
      </w:r>
    </w:p>
    <w:p w14:paraId="572F4F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jc w:val="left"/>
        <w:rPr>
          <w:sz w:val="14"/>
          <w:szCs w:val="14"/>
        </w:rPr>
      </w:pPr>
      <w:r>
        <w:rPr>
          <w:rFonts w:hint="eastAsia" w:ascii="宋体" w:hAnsi="宋体" w:eastAsia="宋体" w:cs="宋体"/>
          <w:i w:val="0"/>
          <w:iCs w:val="0"/>
          <w:caps w:val="0"/>
          <w:color w:val="000000"/>
          <w:spacing w:val="0"/>
          <w:sz w:val="20"/>
          <w:szCs w:val="20"/>
          <w:bdr w:val="none" w:color="auto" w:sz="0" w:space="0"/>
        </w:rPr>
        <w:t>4.在入伍期间和退役后工作学习期间无记过及以上纪律处分，或受到纪律处分但报名前已解除处分。</w:t>
      </w:r>
    </w:p>
    <w:p w14:paraId="1B0BDE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jc w:val="left"/>
        <w:rPr>
          <w:sz w:val="14"/>
          <w:szCs w:val="14"/>
        </w:rPr>
      </w:pPr>
      <w:r>
        <w:rPr>
          <w:rFonts w:hint="eastAsia" w:ascii="宋体" w:hAnsi="宋体" w:eastAsia="宋体" w:cs="宋体"/>
          <w:i w:val="0"/>
          <w:iCs w:val="0"/>
          <w:caps w:val="0"/>
          <w:color w:val="333333"/>
          <w:spacing w:val="0"/>
          <w:sz w:val="20"/>
          <w:szCs w:val="20"/>
          <w:bdr w:val="none" w:color="auto" w:sz="0" w:space="0"/>
        </w:rPr>
        <w:t>5.已在规定时间内参加江西省2025年专升本报名，并获“退役大学生士兵”报名资格。</w:t>
      </w:r>
    </w:p>
    <w:p w14:paraId="64B190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jc w:val="left"/>
        <w:rPr>
          <w:sz w:val="14"/>
          <w:szCs w:val="14"/>
        </w:rPr>
      </w:pPr>
      <w:r>
        <w:rPr>
          <w:rFonts w:hint="eastAsia" w:ascii="宋体" w:hAnsi="宋体" w:eastAsia="宋体" w:cs="宋体"/>
          <w:i w:val="0"/>
          <w:iCs w:val="0"/>
          <w:caps w:val="0"/>
          <w:color w:val="333333"/>
          <w:spacing w:val="0"/>
          <w:sz w:val="20"/>
          <w:szCs w:val="20"/>
          <w:bdr w:val="none" w:color="auto" w:sz="0" w:space="0"/>
        </w:rPr>
        <w:t>6.退役大学生士兵在高职（专业）所学专业和报考专业须符合《江西省2025年普通高校专升本考试对应专业（类）指导目录》的要求。</w:t>
      </w:r>
    </w:p>
    <w:p w14:paraId="73685A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jc w:val="left"/>
        <w:rPr>
          <w:sz w:val="14"/>
          <w:szCs w:val="14"/>
        </w:rPr>
      </w:pPr>
      <w:r>
        <w:rPr>
          <w:rStyle w:val="7"/>
          <w:rFonts w:hint="eastAsia" w:ascii="宋体" w:hAnsi="宋体" w:eastAsia="宋体" w:cs="宋体"/>
          <w:b/>
          <w:bCs/>
          <w:i w:val="0"/>
          <w:iCs w:val="0"/>
          <w:caps w:val="0"/>
          <w:color w:val="000000"/>
          <w:spacing w:val="0"/>
          <w:sz w:val="20"/>
          <w:szCs w:val="20"/>
          <w:bdr w:val="none" w:color="auto" w:sz="0" w:space="0"/>
        </w:rPr>
        <w:t>五、报名流程</w:t>
      </w:r>
    </w:p>
    <w:p w14:paraId="05319C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rPr>
          <w:sz w:val="14"/>
          <w:szCs w:val="14"/>
        </w:rPr>
      </w:pPr>
      <w:r>
        <w:rPr>
          <w:rFonts w:hint="eastAsia" w:ascii="宋体" w:hAnsi="宋体" w:eastAsia="宋体" w:cs="宋体"/>
          <w:i w:val="0"/>
          <w:iCs w:val="0"/>
          <w:caps w:val="0"/>
          <w:color w:val="333333"/>
          <w:spacing w:val="0"/>
          <w:sz w:val="20"/>
          <w:szCs w:val="20"/>
          <w:bdr w:val="none" w:color="auto" w:sz="0" w:space="0"/>
        </w:rPr>
        <w:t>1.报名时间：2025年2月16日至3月2日17:00</w:t>
      </w:r>
    </w:p>
    <w:p w14:paraId="5CDD59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2.报名方式：本次报名采取线上填报的方式进行，请考生扫描（下方）二维码，按要求填写提交相关报名信息。</w:t>
      </w:r>
    </w:p>
    <w:p w14:paraId="72F85C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280"/>
        <w:jc w:val="center"/>
        <w:rPr>
          <w:sz w:val="14"/>
          <w:szCs w:val="14"/>
        </w:rPr>
      </w:pPr>
      <w:r>
        <w:rPr>
          <w:rFonts w:hint="eastAsia" w:ascii="微软雅黑" w:hAnsi="微软雅黑" w:eastAsia="微软雅黑" w:cs="微软雅黑"/>
          <w:i w:val="0"/>
          <w:iCs w:val="0"/>
          <w:caps w:val="0"/>
          <w:color w:val="333333"/>
          <w:spacing w:val="0"/>
          <w:sz w:val="14"/>
          <w:szCs w:val="14"/>
          <w:bdr w:val="none" w:color="auto" w:sz="0" w:space="0"/>
        </w:rPr>
        <w:drawing>
          <wp:inline distT="0" distB="0" distL="114300" distR="114300">
            <wp:extent cx="2971800" cy="2809875"/>
            <wp:effectExtent l="0" t="0" r="0"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2971800" cy="2809875"/>
                    </a:xfrm>
                    <a:prstGeom prst="rect">
                      <a:avLst/>
                    </a:prstGeom>
                    <a:noFill/>
                    <a:ln w="9525">
                      <a:noFill/>
                    </a:ln>
                  </pic:spPr>
                </pic:pic>
              </a:graphicData>
            </a:graphic>
          </wp:inline>
        </w:drawing>
      </w:r>
    </w:p>
    <w:p w14:paraId="0E31E5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3.报名过程需要上传的相关电子材料及要求</w:t>
      </w:r>
    </w:p>
    <w:p w14:paraId="74AEE5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（1）《九江学院2025年退役大学生士兵专升本免试招生报名表》本人签名后扫描件（见附件1）。</w:t>
      </w:r>
    </w:p>
    <w:p w14:paraId="3A2658B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shd w:val="clear" w:fill="FFFFFF"/>
        </w:rPr>
        <w:t>（2）江西省教育考试院网站（网址：</w:t>
      </w:r>
      <w:r>
        <w:rPr>
          <w:rFonts w:hint="eastAsia" w:ascii="宋体" w:hAnsi="宋体" w:eastAsia="宋体" w:cs="宋体"/>
          <w:i w:val="0"/>
          <w:iCs w:val="0"/>
          <w:caps w:val="0"/>
          <w:color w:val="333333"/>
          <w:spacing w:val="0"/>
          <w:sz w:val="20"/>
          <w:szCs w:val="20"/>
          <w:u w:val="none"/>
          <w:bdr w:val="none" w:color="auto" w:sz="0" w:space="0"/>
          <w:shd w:val="clear" w:fill="FFFFFF"/>
        </w:rPr>
        <w:fldChar w:fldCharType="begin"/>
      </w:r>
      <w:r>
        <w:rPr>
          <w:rFonts w:hint="eastAsia" w:ascii="宋体" w:hAnsi="宋体" w:eastAsia="宋体" w:cs="宋体"/>
          <w:i w:val="0"/>
          <w:iCs w:val="0"/>
          <w:caps w:val="0"/>
          <w:color w:val="333333"/>
          <w:spacing w:val="0"/>
          <w:sz w:val="20"/>
          <w:szCs w:val="20"/>
          <w:u w:val="none"/>
          <w:bdr w:val="none" w:color="auto" w:sz="0" w:space="0"/>
          <w:shd w:val="clear" w:fill="FFFFFF"/>
        </w:rPr>
        <w:instrText xml:space="preserve"> HYPERLINK "http://www.jxeea.cn/" </w:instrText>
      </w:r>
      <w:r>
        <w:rPr>
          <w:rFonts w:hint="eastAsia" w:ascii="宋体" w:hAnsi="宋体" w:eastAsia="宋体" w:cs="宋体"/>
          <w:i w:val="0"/>
          <w:iCs w:val="0"/>
          <w:caps w:val="0"/>
          <w:color w:val="333333"/>
          <w:spacing w:val="0"/>
          <w:sz w:val="20"/>
          <w:szCs w:val="20"/>
          <w:u w:val="none"/>
          <w:bdr w:val="none" w:color="auto" w:sz="0" w:space="0"/>
          <w:shd w:val="clear" w:fill="FFFFFF"/>
        </w:rPr>
        <w:fldChar w:fldCharType="separate"/>
      </w:r>
      <w:r>
        <w:rPr>
          <w:rStyle w:val="8"/>
          <w:rFonts w:hint="eastAsia" w:ascii="宋体" w:hAnsi="宋体" w:eastAsia="宋体" w:cs="宋体"/>
          <w:i w:val="0"/>
          <w:iCs w:val="0"/>
          <w:caps w:val="0"/>
          <w:color w:val="333333"/>
          <w:spacing w:val="0"/>
          <w:sz w:val="20"/>
          <w:szCs w:val="20"/>
          <w:u w:val="none"/>
          <w:bdr w:val="none" w:color="auto" w:sz="0" w:space="0"/>
          <w:shd w:val="clear" w:fill="FFFFFF"/>
        </w:rPr>
        <w:t>www.jxeea.cn</w:t>
      </w:r>
      <w:r>
        <w:rPr>
          <w:rFonts w:hint="eastAsia" w:ascii="宋体" w:hAnsi="宋体" w:eastAsia="宋体" w:cs="宋体"/>
          <w:i w:val="0"/>
          <w:iCs w:val="0"/>
          <w:caps w:val="0"/>
          <w:color w:val="333333"/>
          <w:spacing w:val="0"/>
          <w:sz w:val="20"/>
          <w:szCs w:val="20"/>
          <w:u w:val="none"/>
          <w:bdr w:val="none" w:color="auto" w:sz="0" w:space="0"/>
          <w:shd w:val="clear" w:fill="FFFFFF"/>
        </w:rPr>
        <w:fldChar w:fldCharType="end"/>
      </w:r>
      <w:r>
        <w:rPr>
          <w:rFonts w:hint="eastAsia" w:ascii="宋体" w:hAnsi="宋体" w:eastAsia="宋体" w:cs="宋体"/>
          <w:i w:val="0"/>
          <w:iCs w:val="0"/>
          <w:caps w:val="0"/>
          <w:color w:val="333333"/>
          <w:spacing w:val="0"/>
          <w:sz w:val="20"/>
          <w:szCs w:val="20"/>
          <w:bdr w:val="none" w:color="auto" w:sz="0" w:space="0"/>
          <w:shd w:val="clear" w:fill="FFFFFF"/>
        </w:rPr>
        <w:t>)“专升本报名系统”中退役大学生士兵免试专升本报名基本信息与资格审核通过截图（JPG格式）。</w:t>
      </w:r>
    </w:p>
    <w:p w14:paraId="5BCE64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（3）本人近期电子正面免冠照片压缩文件（文件以“身份证号+姓名”命名，格式为JPG，大小不得超过20KB）。</w:t>
      </w:r>
    </w:p>
    <w:p w14:paraId="7B9768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（4）毕业证或毕业证明材料扫描件（PDF格式）。（应届生可提供教务部门开具的带日期毕业证明扫描件或学信网学籍信息备案表）。</w:t>
      </w:r>
    </w:p>
    <w:p w14:paraId="427896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（5）本人身份证（正反面）和退役证扫描件（PDF格式）。</w:t>
      </w:r>
    </w:p>
    <w:p w14:paraId="497251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（6）服役期间获得的个人奖励或表彰文件扫描件（档案复印件须加盖档案所在部门公章，PDF格式）。</w:t>
      </w:r>
    </w:p>
    <w:p w14:paraId="08FD4B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4.资格审查</w:t>
      </w:r>
    </w:p>
    <w:p w14:paraId="7E14F8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（1）依据《江西省2025年普通高校专升本考试对应专业(类)指导目录》，我校将对照招生专业对考生毕业专业进行资格初审，初审情况将在学校本科招生网公布，请密切关注网站通知。</w:t>
      </w:r>
    </w:p>
    <w:p w14:paraId="0B8B37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（2）本省院校退役大学生士兵的报名资格由就读(毕业)院校初审，外省院校退役大学生士兵的报名资格由省教育厅初审，退役士兵身份由省退役军人事务厅进行核定。</w:t>
      </w:r>
    </w:p>
    <w:p w14:paraId="42E90A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（3）资格审查贯穿报名、综合评价考查、录取、报到等全过程，一旦发现弄虚作假、违规违纪行为，将取消考生报名、综合评价考查、录取等资格。</w:t>
      </w:r>
    </w:p>
    <w:p w14:paraId="7F6A5D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20"/>
        <w:rPr>
          <w:sz w:val="14"/>
          <w:szCs w:val="14"/>
        </w:rPr>
      </w:pPr>
      <w:r>
        <w:rPr>
          <w:rStyle w:val="7"/>
          <w:rFonts w:hint="eastAsia" w:ascii="宋体" w:hAnsi="宋体" w:eastAsia="宋体" w:cs="宋体"/>
          <w:b/>
          <w:bCs/>
          <w:i w:val="0"/>
          <w:iCs w:val="0"/>
          <w:caps w:val="0"/>
          <w:color w:val="000000"/>
          <w:spacing w:val="0"/>
          <w:sz w:val="20"/>
          <w:szCs w:val="20"/>
          <w:bdr w:val="none" w:color="auto" w:sz="0" w:space="0"/>
        </w:rPr>
        <w:t>六、综合评价方法</w:t>
      </w:r>
    </w:p>
    <w:p w14:paraId="76D7DD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九江学院退役大学生士兵专升本免试招生工作在学校专升本工作领导小组的领导下进行综合评价。综合评价的成绩由职业适应性考查得分和服役期间表现得分两部分之和组成。</w:t>
      </w:r>
    </w:p>
    <w:p w14:paraId="2E067F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职业适应性综合考查采取闭卷笔试的方式，考查内容包含三部分，第一部分“时事政治”、第二部分“职业素养”、第三部分“专业认知”，考查总时长为 90 分钟，满分 100 分。其中，第一部分“时事政治”满分为 50 分、第二部分“职业素养”满分为 30 分、第三部分“专业认知”满分为 20 分，具体考查大纲见附件2。</w:t>
      </w:r>
    </w:p>
    <w:p w14:paraId="785890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服役期间表现得分为加分项，根据学生在服役期间获得的个人奖励或表彰予以加分，个人奖励或表彰对应的加分如下：</w:t>
      </w:r>
    </w:p>
    <w:p w14:paraId="39B7E4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（1）个人嘉奖，每次加1分；</w:t>
      </w:r>
    </w:p>
    <w:p w14:paraId="2E2601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（2）个人三等功，每次加10分；</w:t>
      </w:r>
    </w:p>
    <w:p w14:paraId="2D21E4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（3）个人二等功，每次加20分；</w:t>
      </w:r>
    </w:p>
    <w:p w14:paraId="0A32D3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（4）个人一等功，每次加40分；</w:t>
      </w:r>
    </w:p>
    <w:p w14:paraId="77DFAA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（5）个人荣誉称号，每次加60分；</w:t>
      </w:r>
    </w:p>
    <w:p w14:paraId="324D50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（6）个人获得八一勋章，每次加80分；</w:t>
      </w:r>
    </w:p>
    <w:p w14:paraId="09AC1D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（7）个人获得中央军委实施的表彰，每次加20分；</w:t>
      </w:r>
    </w:p>
    <w:p w14:paraId="375652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（8）个人获得军委机关部门实施的全军性表彰，每次加10分。</w:t>
      </w:r>
    </w:p>
    <w:p w14:paraId="1E7B3B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以上奖励均指依据《中国人民解放军纪律条令（试行）》实施的奖励项目。获得个人嘉奖的，退役士兵档案中必须具备个人奖励相关登记（报告）表；获得个人三等功（含）以上奖励的，本人还应具备受奖证书和奖章。个人获得中央军委、军委机关部门实施的表彰，退役士兵档案中必须具备表彰通报（通令）名称和文号（编号）。填报加分项的考生须于考查现场提供原始材料或相关部门加盖公章的证明材料，否则，一律不予以加分。</w:t>
      </w:r>
    </w:p>
    <w:p w14:paraId="426F9B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390"/>
        <w:rPr>
          <w:sz w:val="14"/>
          <w:szCs w:val="14"/>
        </w:rPr>
      </w:pPr>
      <w:r>
        <w:rPr>
          <w:rStyle w:val="7"/>
          <w:rFonts w:hint="eastAsia" w:ascii="宋体" w:hAnsi="宋体" w:eastAsia="宋体" w:cs="宋体"/>
          <w:b/>
          <w:bCs/>
          <w:i w:val="0"/>
          <w:iCs w:val="0"/>
          <w:caps w:val="0"/>
          <w:color w:val="000000"/>
          <w:spacing w:val="0"/>
          <w:sz w:val="20"/>
          <w:szCs w:val="20"/>
          <w:bdr w:val="none" w:color="auto" w:sz="0" w:space="0"/>
        </w:rPr>
        <w:t>七、考查时间及地点</w:t>
      </w:r>
    </w:p>
    <w:p w14:paraId="241220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rPr>
          <w:sz w:val="14"/>
          <w:szCs w:val="14"/>
        </w:rPr>
      </w:pPr>
      <w:r>
        <w:rPr>
          <w:rFonts w:hint="eastAsia" w:ascii="宋体" w:hAnsi="宋体" w:eastAsia="宋体" w:cs="宋体"/>
          <w:i w:val="0"/>
          <w:iCs w:val="0"/>
          <w:caps w:val="0"/>
          <w:color w:val="333333"/>
          <w:spacing w:val="0"/>
          <w:sz w:val="20"/>
          <w:szCs w:val="20"/>
          <w:bdr w:val="none" w:color="auto" w:sz="0" w:space="0"/>
        </w:rPr>
        <w:t>考查时间：2025年3月8日9：00-11:00</w:t>
      </w:r>
    </w:p>
    <w:p w14:paraId="447194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考查地点：九江学院丹枫园校区香远楼，具体地点以准考证为准。</w:t>
      </w:r>
    </w:p>
    <w:p w14:paraId="4E550B4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0" w:afterAutospacing="0" w:line="350" w:lineRule="atLeast"/>
        <w:ind w:left="0" w:right="0" w:firstLine="0"/>
        <w:rPr>
          <w:sz w:val="14"/>
          <w:szCs w:val="14"/>
        </w:rPr>
      </w:pPr>
      <w:r>
        <w:rPr>
          <w:rFonts w:ascii="Segoe UI Symbol" w:hAnsi="Segoe UI Symbol" w:eastAsia="Segoe UI Symbol" w:cs="Segoe UI Symbol"/>
          <w:i w:val="0"/>
          <w:iCs w:val="0"/>
          <w:caps w:val="0"/>
          <w:color w:val="111111"/>
          <w:spacing w:val="0"/>
          <w:sz w:val="20"/>
          <w:szCs w:val="20"/>
          <w:bdr w:val="none" w:color="auto" w:sz="0" w:space="0"/>
          <w:shd w:val="clear" w:fill="FFFFFF"/>
        </w:rPr>
        <w:t>　　</w:t>
      </w:r>
      <w:r>
        <w:rPr>
          <w:rStyle w:val="7"/>
          <w:rFonts w:hint="eastAsia" w:ascii="宋体" w:hAnsi="宋体" w:eastAsia="宋体" w:cs="宋体"/>
          <w:b/>
          <w:bCs/>
          <w:i w:val="0"/>
          <w:iCs w:val="0"/>
          <w:caps w:val="0"/>
          <w:color w:val="000000"/>
          <w:spacing w:val="0"/>
          <w:sz w:val="20"/>
          <w:szCs w:val="20"/>
          <w:bdr w:val="none" w:color="auto" w:sz="0" w:space="0"/>
          <w:shd w:val="clear" w:fill="FFFFFF"/>
        </w:rPr>
        <w:t>八、招生录取</w:t>
      </w:r>
    </w:p>
    <w:p w14:paraId="5610C9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各专业按招生计划数依据考生综合评价成绩从高分至低分顺序择优录取。若考生总分相同时，按照首先参考“时事政治”得分，其次参考“职业素养”得分，再次参考“专业认知”得分，最后参考服役期间表现得分的原则，择优录取。</w:t>
      </w:r>
    </w:p>
    <w:p w14:paraId="78F338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资格审查贯穿招生录取全过程，凡有资格不符或有违背考试公平原则的考生，一经核实取消录取资格。</w:t>
      </w:r>
    </w:p>
    <w:p w14:paraId="2731A6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jc w:val="left"/>
        <w:rPr>
          <w:sz w:val="14"/>
          <w:szCs w:val="14"/>
        </w:rPr>
      </w:pPr>
      <w:r>
        <w:rPr>
          <w:rStyle w:val="7"/>
          <w:rFonts w:hint="eastAsia" w:ascii="宋体" w:hAnsi="宋体" w:eastAsia="宋体" w:cs="宋体"/>
          <w:b/>
          <w:bCs/>
          <w:i w:val="0"/>
          <w:iCs w:val="0"/>
          <w:caps w:val="0"/>
          <w:color w:val="000000"/>
          <w:spacing w:val="0"/>
          <w:sz w:val="20"/>
          <w:szCs w:val="20"/>
          <w:bdr w:val="none" w:color="auto" w:sz="0" w:space="0"/>
        </w:rPr>
        <w:t>九、其他事项</w:t>
      </w:r>
    </w:p>
    <w:p w14:paraId="287D21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1.考生报名时填写的联系方式一定要准确，如联系不上，一切后果自负。</w:t>
      </w:r>
    </w:p>
    <w:p w14:paraId="0354F8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2.我校2025年退役大学生士兵专升本免试招生工作的相关通知均会公布在校园网的专升本专栏中，请考生随时关注，并按要求及时完成。</w:t>
      </w:r>
    </w:p>
    <w:p w14:paraId="543327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3.请参加考查的考生于2025年3月7日，持退役证或相关退役证明材料从学校南门进入，凭身份证原件前往教务处考务中心（老行政楼207室）领取准考证，并提前熟悉考查考场，做好考前相关准备工作。</w:t>
      </w:r>
    </w:p>
    <w:p w14:paraId="59CCCC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4.学校未授权任何中介（培训）机构或个人开展2025年专升本招生活动。考生切勿相信未经官方发布的任何消息。因自身原因造成的不良后果，由考生个人自行承担。</w:t>
      </w:r>
    </w:p>
    <w:p w14:paraId="606041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jc w:val="left"/>
        <w:rPr>
          <w:sz w:val="14"/>
          <w:szCs w:val="14"/>
        </w:rPr>
      </w:pPr>
      <w:r>
        <w:rPr>
          <w:rFonts w:hint="eastAsia" w:ascii="宋体" w:hAnsi="宋体" w:eastAsia="宋体" w:cs="宋体"/>
          <w:i w:val="0"/>
          <w:iCs w:val="0"/>
          <w:caps w:val="0"/>
          <w:color w:val="333333"/>
          <w:spacing w:val="0"/>
          <w:sz w:val="20"/>
          <w:szCs w:val="20"/>
          <w:bdr w:val="none" w:color="auto" w:sz="0" w:space="0"/>
        </w:rPr>
        <w:t>我校公布专升本招生有关的信息网址：</w:t>
      </w:r>
    </w:p>
    <w:p w14:paraId="0806DC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jc w:val="left"/>
        <w:rPr>
          <w:sz w:val="14"/>
          <w:szCs w:val="14"/>
        </w:rPr>
      </w:pPr>
      <w:r>
        <w:rPr>
          <w:rFonts w:hint="eastAsia" w:ascii="宋体" w:hAnsi="宋体" w:eastAsia="宋体" w:cs="宋体"/>
          <w:i w:val="0"/>
          <w:iCs w:val="0"/>
          <w:caps w:val="0"/>
          <w:color w:val="333333"/>
          <w:spacing w:val="0"/>
          <w:sz w:val="20"/>
          <w:szCs w:val="20"/>
          <w:bdr w:val="none" w:color="auto" w:sz="0" w:space="0"/>
        </w:rPr>
        <w:t>https://www.jju.edu.cn/zsjy2/zsb.htm</w:t>
      </w:r>
    </w:p>
    <w:p w14:paraId="2380F2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咨询电话：0792－8312897</w:t>
      </w:r>
    </w:p>
    <w:p w14:paraId="5E1D8E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联系地址：江西省九江市前进东路551号九江学院教务处考务中心</w:t>
      </w:r>
    </w:p>
    <w:p w14:paraId="6225CF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邮编：332005</w:t>
      </w:r>
    </w:p>
    <w:p w14:paraId="35ACE9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5.学校2025年退役大学生士兵专升本招生工作接受教育部、各省（区、市）招生主管部门、纪检部门、考生和社会各界的监督，举报监督邮箱：19337901@qq.com</w:t>
      </w:r>
    </w:p>
    <w:p w14:paraId="738F8B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00"/>
        <w:rPr>
          <w:sz w:val="14"/>
          <w:szCs w:val="14"/>
        </w:rPr>
      </w:pPr>
      <w:r>
        <w:rPr>
          <w:rFonts w:hint="eastAsia" w:ascii="宋体" w:hAnsi="宋体" w:eastAsia="宋体" w:cs="宋体"/>
          <w:i w:val="0"/>
          <w:iCs w:val="0"/>
          <w:caps w:val="0"/>
          <w:color w:val="333333"/>
          <w:spacing w:val="0"/>
          <w:sz w:val="20"/>
          <w:szCs w:val="20"/>
          <w:bdr w:val="none" w:color="auto" w:sz="0" w:space="0"/>
        </w:rPr>
        <w:t>6.本简章由学校专升本工作领导小组负责解释。</w:t>
      </w:r>
    </w:p>
    <w:p w14:paraId="0EBA98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sz w:val="14"/>
          <w:szCs w:val="14"/>
        </w:rPr>
      </w:pPr>
      <w:r>
        <w:rPr>
          <w:rFonts w:hint="eastAsia" w:ascii="微软雅黑" w:hAnsi="微软雅黑" w:eastAsia="微软雅黑" w:cs="微软雅黑"/>
          <w:i w:val="0"/>
          <w:iCs w:val="0"/>
          <w:caps w:val="0"/>
          <w:color w:val="333333"/>
          <w:spacing w:val="0"/>
          <w:sz w:val="14"/>
          <w:szCs w:val="14"/>
          <w:bdr w:val="none" w:color="auto" w:sz="0" w:space="0"/>
        </w:rPr>
        <w:t> </w:t>
      </w:r>
    </w:p>
    <w:p w14:paraId="343286D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UI Symbol">
    <w:panose1 w:val="020B0502040204020203"/>
    <w:charset w:val="00"/>
    <w:family w:val="auto"/>
    <w:pitch w:val="default"/>
    <w:sig w:usb0="800001E3" w:usb1="1200FFEF" w:usb2="00040000" w:usb3="04000000"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B80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2025-02-17T02:52:27Z</dcterms:created>
  <dc:creator>DELL</dc:creator>
  <cp:lastModifiedBy>长乐</cp:lastModifiedBy>
  <dcterms:modified xsi:type="dcterms:W3CDTF">2025-02-17T02:52:52Z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eyJoZGlkIjoiYWJmNTAxYTA0NTllZTU0OWY5NWY0MWNlMzBjNGU2OTYiLCJ1c2VySWQiOiIxNjc0NTY2MTcwIn0=</vt:lpwstr>
  </property>
  <property fmtid="{D5CDD505-2E9C-101B-9397-08002B2CF9AE}" pid="4" name="ICV">
    <vt:lpwstr>59DE2A0645BA4547830CC6BA17B8D409_12</vt:lpwstr>
  </property>
</Properties>
</file>