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772F5">
      <w:pPr>
        <w:keepNext w:val="0"/>
        <w:keepLines w:val="0"/>
        <w:widowControl/>
        <w:suppressLineNumbers w:val="0"/>
        <w:pBdr>
          <w:top w:val="none" w:color="auto" w:sz="0" w:space="0"/>
          <w:left w:val="none" w:color="auto" w:sz="0" w:space="0"/>
          <w:bottom w:val="none" w:color="auto" w:sz="0" w:space="0"/>
          <w:right w:val="none" w:color="auto" w:sz="0" w:space="0"/>
        </w:pBdr>
        <w:shd w:val="clear" w:fill="F5F5F9"/>
        <w:spacing w:before="0" w:beforeAutospacing="0" w:after="0" w:afterAutospacing="0" w:line="300" w:lineRule="atLeast"/>
        <w:ind w:left="0" w:right="0" w:firstLine="0"/>
        <w:jc w:val="left"/>
        <w:rPr>
          <w:rFonts w:ascii="Helvetica" w:hAnsi="Helvetica" w:eastAsia="Helvetica" w:cs="Helvetica"/>
          <w:b/>
          <w:bCs/>
          <w:i w:val="0"/>
          <w:iCs w:val="0"/>
          <w:caps w:val="0"/>
          <w:color w:val="333333"/>
          <w:spacing w:val="0"/>
          <w:sz w:val="31"/>
          <w:szCs w:val="31"/>
        </w:rPr>
      </w:pPr>
      <w:r>
        <w:rPr>
          <w:rFonts w:hint="default" w:ascii="Helvetica" w:hAnsi="Helvetica" w:eastAsia="Helvetica" w:cs="Helvetica"/>
          <w:b/>
          <w:bCs/>
          <w:i w:val="0"/>
          <w:iCs w:val="0"/>
          <w:caps w:val="0"/>
          <w:color w:val="333333"/>
          <w:spacing w:val="0"/>
          <w:kern w:val="0"/>
          <w:sz w:val="31"/>
          <w:szCs w:val="31"/>
          <w:bdr w:val="none" w:color="auto" w:sz="0" w:space="0"/>
          <w:shd w:val="clear" w:fill="F5F5F9"/>
          <w:lang w:val="en-US" w:eastAsia="zh-CN" w:bidi="ar"/>
        </w:rPr>
        <w:t>南昌大学共青学院2025年专升本招生章程</w:t>
      </w:r>
    </w:p>
    <w:p w14:paraId="6B93F080">
      <w:pPr>
        <w:keepNext w:val="0"/>
        <w:keepLines w:val="0"/>
        <w:widowControl/>
        <w:suppressLineNumbers w:val="0"/>
        <w:pBdr>
          <w:top w:val="none" w:color="auto" w:sz="0" w:space="0"/>
          <w:left w:val="none" w:color="auto" w:sz="0" w:space="0"/>
          <w:bottom w:val="none" w:color="auto" w:sz="0" w:space="0"/>
          <w:right w:val="none" w:color="auto" w:sz="0" w:space="0"/>
        </w:pBdr>
        <w:shd w:val="clear" w:fill="F5F5F9"/>
        <w:spacing w:before="0" w:beforeAutospacing="0" w:after="0" w:afterAutospacing="0" w:line="300" w:lineRule="atLeast"/>
        <w:ind w:left="0" w:right="0" w:firstLine="0"/>
        <w:jc w:val="left"/>
        <w:rPr>
          <w:rFonts w:hint="default" w:ascii="Helvetica" w:hAnsi="Helvetica" w:eastAsia="Helvetica" w:cs="Helvetica"/>
          <w:b/>
          <w:bCs/>
          <w:i w:val="0"/>
          <w:iCs w:val="0"/>
          <w:caps w:val="0"/>
          <w:color w:val="ABABAB"/>
          <w:spacing w:val="0"/>
          <w:sz w:val="14"/>
          <w:szCs w:val="14"/>
        </w:rPr>
      </w:pPr>
      <w:r>
        <w:rPr>
          <w:rFonts w:hint="default" w:ascii="Helvetica" w:hAnsi="Helvetica" w:eastAsia="Helvetica" w:cs="Helvetica"/>
          <w:b/>
          <w:bCs/>
          <w:i w:val="0"/>
          <w:iCs w:val="0"/>
          <w:caps w:val="0"/>
          <w:color w:val="ABABAB"/>
          <w:spacing w:val="0"/>
          <w:kern w:val="0"/>
          <w:sz w:val="14"/>
          <w:szCs w:val="14"/>
          <w:bdr w:val="none" w:color="auto" w:sz="0" w:space="0"/>
          <w:shd w:val="clear" w:fill="F5F5F9"/>
          <w:lang w:val="en-US" w:eastAsia="zh-CN" w:bidi="ar"/>
        </w:rPr>
        <w:t>02/16/2025</w:t>
      </w:r>
    </w:p>
    <w:p w14:paraId="4E4ECAF6">
      <w:pPr>
        <w:pStyle w:val="2"/>
        <w:keepNext w:val="0"/>
        <w:keepLines w:val="0"/>
        <w:widowControl/>
        <w:suppressLineNumbers w:val="0"/>
        <w:spacing w:before="0" w:beforeAutospacing="0" w:after="100" w:afterAutospacing="0" w:line="370" w:lineRule="atLeast"/>
        <w:ind w:left="0" w:right="0" w:firstLine="430"/>
      </w:pPr>
      <w:r>
        <w:rPr>
          <w:rFonts w:ascii="仿宋" w:hAnsi="仿宋" w:eastAsia="仿宋" w:cs="仿宋"/>
          <w:i w:val="0"/>
          <w:iCs w:val="0"/>
          <w:caps w:val="0"/>
          <w:color w:val="333333"/>
          <w:spacing w:val="0"/>
          <w:sz w:val="21"/>
          <w:szCs w:val="21"/>
          <w:shd w:val="clear" w:fill="F5F5F9"/>
        </w:rPr>
        <w:t>根据《江西省</w:t>
      </w:r>
      <w:r>
        <w:rPr>
          <w:rFonts w:hint="eastAsia" w:ascii="仿宋" w:hAnsi="仿宋" w:eastAsia="仿宋" w:cs="仿宋"/>
          <w:i w:val="0"/>
          <w:iCs w:val="0"/>
          <w:caps w:val="0"/>
          <w:color w:val="333333"/>
          <w:spacing w:val="0"/>
          <w:sz w:val="21"/>
          <w:szCs w:val="21"/>
          <w:shd w:val="clear" w:fill="F5F5F9"/>
        </w:rPr>
        <w:t>2025年普通高校专升本考试招生实施方案》（赣教高字〔2024〕53号)《关于做好江西省2025年普通高校专升本考试招生报名工作的通知》(赣考院普〔2024〕28号〕《关于做好江西省2025年普通高等学校专升本“大国工匠班”招生考试工作的通知》(赣教高字〔2024)60号〕等文件精神及要求，经学校研究决定，特制定南昌大学共青学院 2025年专升本招生简章。具体如下：</w:t>
      </w:r>
    </w:p>
    <w:p w14:paraId="6106CB45">
      <w:pPr>
        <w:pStyle w:val="2"/>
        <w:keepNext w:val="0"/>
        <w:keepLines w:val="0"/>
        <w:widowControl/>
        <w:suppressLineNumbers w:val="0"/>
        <w:spacing w:before="0" w:beforeAutospacing="0" w:after="100" w:afterAutospacing="0" w:line="370" w:lineRule="atLeast"/>
        <w:ind w:left="0" w:right="0" w:firstLine="400"/>
      </w:pPr>
      <w:r>
        <w:rPr>
          <w:rStyle w:val="5"/>
          <w:rFonts w:ascii="黑体" w:hAnsi="宋体" w:eastAsia="黑体" w:cs="黑体"/>
          <w:b/>
          <w:bCs/>
          <w:i w:val="0"/>
          <w:iCs w:val="0"/>
          <w:caps w:val="0"/>
          <w:color w:val="333333"/>
          <w:spacing w:val="-10"/>
          <w:sz w:val="21"/>
          <w:szCs w:val="21"/>
          <w:shd w:val="clear" w:fill="F5F5F9"/>
        </w:rPr>
        <w:t>一、组织机构</w:t>
      </w:r>
    </w:p>
    <w:p w14:paraId="20723FD9">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1.学校成立2025年专升本招生工作领导小组，全面负责学校2025年专升本招生工作，制定2025年专升本招生工作政策，决定有关2025年专升本招生的重大事宜。</w:t>
      </w:r>
    </w:p>
    <w:p w14:paraId="41939927">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2.学校招生就业处是组织和实施2025年专升本招生工作的常设机构，具体负责学校日常2025年专升本招生工作。未授权或委托任何中介（培训）机构或个人开展2025年专升本招生活动。</w:t>
      </w:r>
    </w:p>
    <w:p w14:paraId="4CD02ED5">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3.学校纪检部门对2025年专升本招生工作实施监督，负责监督招生工作各项政策和规定的落实，维护广大考生和学校的合法权益。</w:t>
      </w:r>
    </w:p>
    <w:p w14:paraId="3AD4A712">
      <w:pPr>
        <w:pStyle w:val="2"/>
        <w:keepNext w:val="0"/>
        <w:keepLines w:val="0"/>
        <w:widowControl/>
        <w:suppressLineNumbers w:val="0"/>
        <w:spacing w:before="0" w:beforeAutospacing="0" w:after="100" w:afterAutospacing="0" w:line="370" w:lineRule="atLeast"/>
        <w:ind w:left="0" w:right="0" w:firstLine="400"/>
      </w:pPr>
      <w:r>
        <w:rPr>
          <w:rStyle w:val="5"/>
          <w:rFonts w:hint="eastAsia" w:ascii="黑体" w:hAnsi="宋体" w:eastAsia="黑体" w:cs="黑体"/>
          <w:b/>
          <w:bCs/>
          <w:i w:val="0"/>
          <w:iCs w:val="0"/>
          <w:caps w:val="0"/>
          <w:color w:val="333333"/>
          <w:spacing w:val="-10"/>
          <w:sz w:val="21"/>
          <w:szCs w:val="21"/>
          <w:shd w:val="clear" w:fill="F5F5F9"/>
        </w:rPr>
        <w:t>二、招生专业及计划</w:t>
      </w:r>
    </w:p>
    <w:p w14:paraId="054A80E5">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南昌大学共青学院2025年专升本招生计划数严格执行省教育主管部门政策和规定。学校总计划数为800人，其中普通计划584人，获奖学生（含高水平运动员）专项计划40人，脱贫家庭（原建档立卡贫困家庭）专项计划80人，退役士兵免试专项计划96人。</w:t>
      </w:r>
    </w:p>
    <w:p w14:paraId="7A30CA69">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具体分专业计划详见下表：</w:t>
      </w:r>
    </w:p>
    <w:tbl>
      <w:tblPr>
        <w:tblW w:w="5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0"/>
        <w:gridCol w:w="1390"/>
        <w:gridCol w:w="620"/>
        <w:gridCol w:w="740"/>
        <w:gridCol w:w="690"/>
        <w:gridCol w:w="700"/>
        <w:gridCol w:w="760"/>
        <w:gridCol w:w="640"/>
      </w:tblGrid>
      <w:tr w14:paraId="2F81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0"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EFEFEF"/>
            <w:tcMar>
              <w:top w:w="0" w:type="dxa"/>
              <w:left w:w="70" w:type="dxa"/>
              <w:bottom w:w="0" w:type="dxa"/>
              <w:right w:w="70" w:type="dxa"/>
            </w:tcMar>
            <w:vAlign w:val="center"/>
          </w:tcPr>
          <w:p w14:paraId="5CE033C9">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序号</w:t>
            </w:r>
          </w:p>
        </w:tc>
        <w:tc>
          <w:tcPr>
            <w:tcW w:w="1390" w:type="dxa"/>
            <w:vMerge w:val="restart"/>
            <w:tcBorders>
              <w:top w:val="single" w:color="000000" w:sz="4" w:space="0"/>
              <w:left w:val="nil"/>
              <w:bottom w:val="single" w:color="000000" w:sz="4" w:space="0"/>
              <w:right w:val="single" w:color="000000" w:sz="4" w:space="0"/>
            </w:tcBorders>
            <w:shd w:val="clear" w:color="auto" w:fill="EFEFEF"/>
            <w:tcMar>
              <w:top w:w="0" w:type="dxa"/>
              <w:left w:w="70" w:type="dxa"/>
              <w:bottom w:w="0" w:type="dxa"/>
              <w:right w:w="70" w:type="dxa"/>
            </w:tcMar>
            <w:vAlign w:val="center"/>
          </w:tcPr>
          <w:p w14:paraId="5EBADAB4">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招生专业</w:t>
            </w:r>
          </w:p>
        </w:tc>
        <w:tc>
          <w:tcPr>
            <w:tcW w:w="3510" w:type="dxa"/>
            <w:gridSpan w:val="5"/>
            <w:tcBorders>
              <w:top w:val="single" w:color="000000" w:sz="4" w:space="0"/>
              <w:left w:val="nil"/>
              <w:bottom w:val="single" w:color="000000" w:sz="4" w:space="0"/>
              <w:right w:val="single" w:color="000000" w:sz="4" w:space="0"/>
            </w:tcBorders>
            <w:shd w:val="clear" w:color="auto" w:fill="EFEFEF"/>
            <w:tcMar>
              <w:top w:w="0" w:type="dxa"/>
              <w:left w:w="70" w:type="dxa"/>
              <w:bottom w:w="0" w:type="dxa"/>
              <w:right w:w="70" w:type="dxa"/>
            </w:tcMar>
            <w:vAlign w:val="center"/>
          </w:tcPr>
          <w:p w14:paraId="32A30EBB">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拟招生计划数</w:t>
            </w:r>
          </w:p>
        </w:tc>
        <w:tc>
          <w:tcPr>
            <w:tcW w:w="640" w:type="dxa"/>
            <w:vMerge w:val="restart"/>
            <w:tcBorders>
              <w:top w:val="single" w:color="000000" w:sz="4" w:space="0"/>
              <w:left w:val="nil"/>
              <w:bottom w:val="single" w:color="000000" w:sz="4" w:space="0"/>
              <w:right w:val="single" w:color="000000" w:sz="4" w:space="0"/>
            </w:tcBorders>
            <w:shd w:val="clear" w:color="auto" w:fill="EFEFEF"/>
            <w:tcMar>
              <w:top w:w="0" w:type="dxa"/>
              <w:left w:w="70" w:type="dxa"/>
              <w:bottom w:w="0" w:type="dxa"/>
              <w:right w:w="70" w:type="dxa"/>
            </w:tcMar>
            <w:vAlign w:val="center"/>
          </w:tcPr>
          <w:p w14:paraId="69AD0CF0">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学费（元/学年）</w:t>
            </w:r>
          </w:p>
        </w:tc>
      </w:tr>
      <w:tr w14:paraId="374E4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2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14:paraId="69D4C026">
            <w:pPr>
              <w:rPr>
                <w:rFonts w:hint="eastAsia" w:ascii="宋体"/>
                <w:sz w:val="24"/>
                <w:szCs w:val="24"/>
              </w:rPr>
            </w:pPr>
          </w:p>
        </w:tc>
        <w:tc>
          <w:tcPr>
            <w:tcW w:w="1390" w:type="dxa"/>
            <w:vMerge w:val="continue"/>
            <w:tcBorders>
              <w:top w:val="single" w:color="000000" w:sz="4" w:space="0"/>
              <w:left w:val="nil"/>
              <w:bottom w:val="single" w:color="000000" w:sz="4" w:space="0"/>
              <w:right w:val="single" w:color="000000" w:sz="4" w:space="0"/>
            </w:tcBorders>
            <w:shd w:val="clear"/>
            <w:tcMar>
              <w:top w:w="0" w:type="dxa"/>
              <w:left w:w="70" w:type="dxa"/>
              <w:bottom w:w="0" w:type="dxa"/>
              <w:right w:w="70" w:type="dxa"/>
            </w:tcMar>
            <w:vAlign w:val="center"/>
          </w:tcPr>
          <w:p w14:paraId="2E33276C">
            <w:pPr>
              <w:rPr>
                <w:rFonts w:hint="eastAsia" w:ascii="宋体"/>
                <w:sz w:val="24"/>
                <w:szCs w:val="24"/>
              </w:rPr>
            </w:pPr>
          </w:p>
        </w:tc>
        <w:tc>
          <w:tcPr>
            <w:tcW w:w="62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4DE55C8">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总计划</w:t>
            </w:r>
          </w:p>
        </w:tc>
        <w:tc>
          <w:tcPr>
            <w:tcW w:w="7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077EE53F">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普通计划</w:t>
            </w:r>
          </w:p>
        </w:tc>
        <w:tc>
          <w:tcPr>
            <w:tcW w:w="690" w:type="dxa"/>
            <w:tcBorders>
              <w:top w:val="single" w:color="000000" w:sz="4" w:space="0"/>
              <w:left w:val="nil"/>
              <w:bottom w:val="single" w:color="000000" w:sz="4" w:space="0"/>
              <w:right w:val="single" w:color="000000" w:sz="4" w:space="0"/>
            </w:tcBorders>
            <w:shd w:val="clear"/>
            <w:tcMar>
              <w:top w:w="0" w:type="dxa"/>
              <w:left w:w="70" w:type="dxa"/>
              <w:bottom w:w="0" w:type="dxa"/>
              <w:right w:w="70" w:type="dxa"/>
            </w:tcMar>
            <w:vAlign w:val="center"/>
          </w:tcPr>
          <w:p w14:paraId="19ED75F1">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退役士兵免试专项计划</w:t>
            </w:r>
          </w:p>
        </w:tc>
        <w:tc>
          <w:tcPr>
            <w:tcW w:w="700" w:type="dxa"/>
            <w:tcBorders>
              <w:top w:val="single" w:color="000000" w:sz="4" w:space="0"/>
              <w:left w:val="nil"/>
              <w:bottom w:val="single" w:color="000000" w:sz="4" w:space="0"/>
              <w:right w:val="single" w:color="000000" w:sz="4" w:space="0"/>
            </w:tcBorders>
            <w:shd w:val="clear"/>
            <w:tcMar>
              <w:top w:w="0" w:type="dxa"/>
              <w:left w:w="70" w:type="dxa"/>
              <w:bottom w:w="0" w:type="dxa"/>
              <w:right w:w="70" w:type="dxa"/>
            </w:tcMar>
            <w:vAlign w:val="center"/>
          </w:tcPr>
          <w:p w14:paraId="40618F1A">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获奖学生（含高水平运动员）专项计划</w:t>
            </w:r>
          </w:p>
        </w:tc>
        <w:tc>
          <w:tcPr>
            <w:tcW w:w="760" w:type="dxa"/>
            <w:tcBorders>
              <w:top w:val="single" w:color="000000" w:sz="4" w:space="0"/>
              <w:left w:val="nil"/>
              <w:bottom w:val="single" w:color="000000" w:sz="4" w:space="0"/>
              <w:right w:val="single" w:color="000000" w:sz="4" w:space="0"/>
            </w:tcBorders>
            <w:shd w:val="clear"/>
            <w:tcMar>
              <w:top w:w="0" w:type="dxa"/>
              <w:left w:w="70" w:type="dxa"/>
              <w:bottom w:w="0" w:type="dxa"/>
              <w:right w:w="70" w:type="dxa"/>
            </w:tcMar>
            <w:vAlign w:val="center"/>
          </w:tcPr>
          <w:p w14:paraId="1360C449">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脱贫家庭（原建档立卡贫困家庭）学生专项计划</w:t>
            </w:r>
          </w:p>
        </w:tc>
        <w:tc>
          <w:tcPr>
            <w:tcW w:w="640" w:type="dxa"/>
            <w:vMerge w:val="continue"/>
            <w:tcBorders>
              <w:top w:val="single" w:color="000000" w:sz="4" w:space="0"/>
              <w:left w:val="nil"/>
              <w:bottom w:val="single" w:color="000000" w:sz="4" w:space="0"/>
              <w:right w:val="single" w:color="000000" w:sz="4" w:space="0"/>
            </w:tcBorders>
            <w:shd w:val="clear"/>
            <w:tcMar>
              <w:top w:w="0" w:type="dxa"/>
              <w:left w:w="70" w:type="dxa"/>
              <w:bottom w:w="0" w:type="dxa"/>
              <w:right w:w="70" w:type="dxa"/>
            </w:tcMar>
            <w:vAlign w:val="center"/>
          </w:tcPr>
          <w:p w14:paraId="66E2AE7C">
            <w:pPr>
              <w:rPr>
                <w:rFonts w:hint="eastAsia" w:ascii="宋体"/>
                <w:sz w:val="24"/>
                <w:szCs w:val="24"/>
              </w:rPr>
            </w:pPr>
          </w:p>
        </w:tc>
      </w:tr>
      <w:tr w14:paraId="6769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20" w:type="dxa"/>
            <w:tcBorders>
              <w:top w:val="nil"/>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14:paraId="6A05E2F1">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w:t>
            </w:r>
          </w:p>
        </w:tc>
        <w:tc>
          <w:tcPr>
            <w:tcW w:w="13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3745EB05">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sz w:val="13"/>
                <w:szCs w:val="13"/>
              </w:rPr>
              <w:t>经济学</w:t>
            </w:r>
          </w:p>
        </w:tc>
        <w:tc>
          <w:tcPr>
            <w:tcW w:w="62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3FB5612D">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15</w:t>
            </w:r>
          </w:p>
        </w:tc>
        <w:tc>
          <w:tcPr>
            <w:tcW w:w="7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3582DF9">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4</w:t>
            </w:r>
          </w:p>
        </w:tc>
        <w:tc>
          <w:tcPr>
            <w:tcW w:w="6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680BAA5">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8</w:t>
            </w:r>
          </w:p>
        </w:tc>
        <w:tc>
          <w:tcPr>
            <w:tcW w:w="70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3B7162C4">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w:t>
            </w:r>
          </w:p>
        </w:tc>
        <w:tc>
          <w:tcPr>
            <w:tcW w:w="76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063A2F1">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2</w:t>
            </w:r>
          </w:p>
        </w:tc>
        <w:tc>
          <w:tcPr>
            <w:tcW w:w="6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1E3DCB79">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15000</w:t>
            </w:r>
          </w:p>
        </w:tc>
      </w:tr>
      <w:tr w14:paraId="5700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rPr>
        <w:tc>
          <w:tcPr>
            <w:tcW w:w="420" w:type="dxa"/>
            <w:tcBorders>
              <w:top w:val="nil"/>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14:paraId="58CC7BCF">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2</w:t>
            </w:r>
          </w:p>
        </w:tc>
        <w:tc>
          <w:tcPr>
            <w:tcW w:w="13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C902199">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sz w:val="13"/>
                <w:szCs w:val="13"/>
              </w:rPr>
              <w:t>会计学</w:t>
            </w:r>
          </w:p>
        </w:tc>
        <w:tc>
          <w:tcPr>
            <w:tcW w:w="62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AE102C2">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100</w:t>
            </w:r>
          </w:p>
        </w:tc>
        <w:tc>
          <w:tcPr>
            <w:tcW w:w="7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5F4EA8D">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77</w:t>
            </w:r>
          </w:p>
        </w:tc>
        <w:tc>
          <w:tcPr>
            <w:tcW w:w="6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6C1F92C">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8</w:t>
            </w:r>
          </w:p>
        </w:tc>
        <w:tc>
          <w:tcPr>
            <w:tcW w:w="70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42F034B2">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5</w:t>
            </w:r>
          </w:p>
        </w:tc>
        <w:tc>
          <w:tcPr>
            <w:tcW w:w="76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35AF963">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10</w:t>
            </w:r>
          </w:p>
        </w:tc>
        <w:tc>
          <w:tcPr>
            <w:tcW w:w="6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7A6943F">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15000</w:t>
            </w:r>
          </w:p>
        </w:tc>
      </w:tr>
      <w:tr w14:paraId="1A33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rPr>
        <w:tc>
          <w:tcPr>
            <w:tcW w:w="420" w:type="dxa"/>
            <w:tcBorders>
              <w:top w:val="nil"/>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14:paraId="502EA42C">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3</w:t>
            </w:r>
          </w:p>
        </w:tc>
        <w:tc>
          <w:tcPr>
            <w:tcW w:w="13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04AC8BCC">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sz w:val="13"/>
                <w:szCs w:val="13"/>
              </w:rPr>
              <w:t>电子商务</w:t>
            </w:r>
          </w:p>
        </w:tc>
        <w:tc>
          <w:tcPr>
            <w:tcW w:w="62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7F97639">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30</w:t>
            </w:r>
          </w:p>
        </w:tc>
        <w:tc>
          <w:tcPr>
            <w:tcW w:w="7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D1FEA75">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17</w:t>
            </w:r>
          </w:p>
        </w:tc>
        <w:tc>
          <w:tcPr>
            <w:tcW w:w="6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FFB07F1">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8</w:t>
            </w:r>
          </w:p>
        </w:tc>
        <w:tc>
          <w:tcPr>
            <w:tcW w:w="70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2A051A7">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2</w:t>
            </w:r>
          </w:p>
        </w:tc>
        <w:tc>
          <w:tcPr>
            <w:tcW w:w="76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2A1261C">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3</w:t>
            </w:r>
          </w:p>
        </w:tc>
        <w:tc>
          <w:tcPr>
            <w:tcW w:w="6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F0FFA78">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16500</w:t>
            </w:r>
          </w:p>
        </w:tc>
      </w:tr>
      <w:tr w14:paraId="70CB0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rPr>
        <w:tc>
          <w:tcPr>
            <w:tcW w:w="420" w:type="dxa"/>
            <w:tcBorders>
              <w:top w:val="nil"/>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14:paraId="6FAE3143">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4</w:t>
            </w:r>
          </w:p>
        </w:tc>
        <w:tc>
          <w:tcPr>
            <w:tcW w:w="13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4C6FCF14">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sz w:val="13"/>
                <w:szCs w:val="13"/>
              </w:rPr>
              <w:t>英语</w:t>
            </w:r>
          </w:p>
        </w:tc>
        <w:tc>
          <w:tcPr>
            <w:tcW w:w="62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2CB55C9">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90</w:t>
            </w:r>
          </w:p>
        </w:tc>
        <w:tc>
          <w:tcPr>
            <w:tcW w:w="7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03C8ECB6">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69</w:t>
            </w:r>
          </w:p>
        </w:tc>
        <w:tc>
          <w:tcPr>
            <w:tcW w:w="6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34D13685">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8</w:t>
            </w:r>
          </w:p>
        </w:tc>
        <w:tc>
          <w:tcPr>
            <w:tcW w:w="70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12211254">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4</w:t>
            </w:r>
          </w:p>
        </w:tc>
        <w:tc>
          <w:tcPr>
            <w:tcW w:w="76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139C8F26">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9</w:t>
            </w:r>
          </w:p>
        </w:tc>
        <w:tc>
          <w:tcPr>
            <w:tcW w:w="6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0FC7698D">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15000</w:t>
            </w:r>
          </w:p>
        </w:tc>
      </w:tr>
      <w:tr w14:paraId="5DE6F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rPr>
        <w:tc>
          <w:tcPr>
            <w:tcW w:w="420" w:type="dxa"/>
            <w:tcBorders>
              <w:top w:val="nil"/>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14:paraId="1DDBFF8A">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5</w:t>
            </w:r>
          </w:p>
        </w:tc>
        <w:tc>
          <w:tcPr>
            <w:tcW w:w="13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E6D7ABA">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sz w:val="13"/>
                <w:szCs w:val="13"/>
              </w:rPr>
              <w:t>商务英语</w:t>
            </w:r>
          </w:p>
        </w:tc>
        <w:tc>
          <w:tcPr>
            <w:tcW w:w="62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3D024E23">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40</w:t>
            </w:r>
          </w:p>
        </w:tc>
        <w:tc>
          <w:tcPr>
            <w:tcW w:w="7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37E5D9C">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26</w:t>
            </w:r>
          </w:p>
        </w:tc>
        <w:tc>
          <w:tcPr>
            <w:tcW w:w="6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6FE7974">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8</w:t>
            </w:r>
          </w:p>
        </w:tc>
        <w:tc>
          <w:tcPr>
            <w:tcW w:w="70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2BA679F9">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2</w:t>
            </w:r>
          </w:p>
        </w:tc>
        <w:tc>
          <w:tcPr>
            <w:tcW w:w="76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47F37E42">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4</w:t>
            </w:r>
          </w:p>
        </w:tc>
        <w:tc>
          <w:tcPr>
            <w:tcW w:w="6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160179A">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15000</w:t>
            </w:r>
          </w:p>
        </w:tc>
      </w:tr>
      <w:tr w14:paraId="7297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rPr>
        <w:tc>
          <w:tcPr>
            <w:tcW w:w="420" w:type="dxa"/>
            <w:tcBorders>
              <w:top w:val="nil"/>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14:paraId="523AAFA8">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6</w:t>
            </w:r>
          </w:p>
        </w:tc>
        <w:tc>
          <w:tcPr>
            <w:tcW w:w="13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0FB69393">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sz w:val="13"/>
                <w:szCs w:val="13"/>
              </w:rPr>
              <w:t>学前教育</w:t>
            </w:r>
          </w:p>
        </w:tc>
        <w:tc>
          <w:tcPr>
            <w:tcW w:w="62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03F80AC1">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45</w:t>
            </w:r>
          </w:p>
        </w:tc>
        <w:tc>
          <w:tcPr>
            <w:tcW w:w="7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0704F3D8">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31</w:t>
            </w:r>
          </w:p>
        </w:tc>
        <w:tc>
          <w:tcPr>
            <w:tcW w:w="6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4BA4216C">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8</w:t>
            </w:r>
          </w:p>
        </w:tc>
        <w:tc>
          <w:tcPr>
            <w:tcW w:w="70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3DB445DC">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2</w:t>
            </w:r>
          </w:p>
        </w:tc>
        <w:tc>
          <w:tcPr>
            <w:tcW w:w="76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C0302D3">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4</w:t>
            </w:r>
          </w:p>
        </w:tc>
        <w:tc>
          <w:tcPr>
            <w:tcW w:w="6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16E3A5B5">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15000</w:t>
            </w:r>
          </w:p>
        </w:tc>
      </w:tr>
      <w:tr w14:paraId="4CC55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rPr>
        <w:tc>
          <w:tcPr>
            <w:tcW w:w="420" w:type="dxa"/>
            <w:tcBorders>
              <w:top w:val="nil"/>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14:paraId="0BF5CA73">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7</w:t>
            </w:r>
          </w:p>
        </w:tc>
        <w:tc>
          <w:tcPr>
            <w:tcW w:w="13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8FBD908">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sz w:val="13"/>
                <w:szCs w:val="13"/>
              </w:rPr>
              <w:t>服装设计与工程</w:t>
            </w:r>
          </w:p>
        </w:tc>
        <w:tc>
          <w:tcPr>
            <w:tcW w:w="62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F4A1965">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30</w:t>
            </w:r>
          </w:p>
        </w:tc>
        <w:tc>
          <w:tcPr>
            <w:tcW w:w="7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3BABBD0">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17</w:t>
            </w:r>
          </w:p>
        </w:tc>
        <w:tc>
          <w:tcPr>
            <w:tcW w:w="6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2E01B130">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8</w:t>
            </w:r>
          </w:p>
        </w:tc>
        <w:tc>
          <w:tcPr>
            <w:tcW w:w="70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2EE8D3F6">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2</w:t>
            </w:r>
          </w:p>
        </w:tc>
        <w:tc>
          <w:tcPr>
            <w:tcW w:w="76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3DDA8524">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3</w:t>
            </w:r>
          </w:p>
        </w:tc>
        <w:tc>
          <w:tcPr>
            <w:tcW w:w="6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515E519">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16500</w:t>
            </w:r>
          </w:p>
        </w:tc>
      </w:tr>
      <w:tr w14:paraId="34FB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rPr>
        <w:tc>
          <w:tcPr>
            <w:tcW w:w="420" w:type="dxa"/>
            <w:tcBorders>
              <w:top w:val="nil"/>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14:paraId="2FB7089E">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8</w:t>
            </w:r>
          </w:p>
        </w:tc>
        <w:tc>
          <w:tcPr>
            <w:tcW w:w="13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F0DFA17">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sz w:val="13"/>
                <w:szCs w:val="13"/>
              </w:rPr>
              <w:t>服装与服饰设计</w:t>
            </w:r>
          </w:p>
        </w:tc>
        <w:tc>
          <w:tcPr>
            <w:tcW w:w="62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092DC948">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60</w:t>
            </w:r>
          </w:p>
        </w:tc>
        <w:tc>
          <w:tcPr>
            <w:tcW w:w="7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A71CE82">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43</w:t>
            </w:r>
          </w:p>
        </w:tc>
        <w:tc>
          <w:tcPr>
            <w:tcW w:w="6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D62B9F7">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8</w:t>
            </w:r>
          </w:p>
        </w:tc>
        <w:tc>
          <w:tcPr>
            <w:tcW w:w="70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10F9C320">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3</w:t>
            </w:r>
          </w:p>
        </w:tc>
        <w:tc>
          <w:tcPr>
            <w:tcW w:w="76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43D421A8">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6</w:t>
            </w:r>
          </w:p>
        </w:tc>
        <w:tc>
          <w:tcPr>
            <w:tcW w:w="6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05A47C7A">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18500</w:t>
            </w:r>
          </w:p>
        </w:tc>
      </w:tr>
      <w:tr w14:paraId="5AD9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rPr>
        <w:tc>
          <w:tcPr>
            <w:tcW w:w="420" w:type="dxa"/>
            <w:tcBorders>
              <w:top w:val="nil"/>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14:paraId="3E3CFFC6">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9</w:t>
            </w:r>
          </w:p>
        </w:tc>
        <w:tc>
          <w:tcPr>
            <w:tcW w:w="13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FFA9154">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sz w:val="13"/>
                <w:szCs w:val="13"/>
              </w:rPr>
              <w:t>环境设计</w:t>
            </w:r>
          </w:p>
        </w:tc>
        <w:tc>
          <w:tcPr>
            <w:tcW w:w="62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E38131E">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30</w:t>
            </w:r>
          </w:p>
        </w:tc>
        <w:tc>
          <w:tcPr>
            <w:tcW w:w="7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09FC02E2">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18</w:t>
            </w:r>
          </w:p>
        </w:tc>
        <w:tc>
          <w:tcPr>
            <w:tcW w:w="6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3FD90CA">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8</w:t>
            </w:r>
          </w:p>
        </w:tc>
        <w:tc>
          <w:tcPr>
            <w:tcW w:w="70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29ECF459">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w:t>
            </w:r>
          </w:p>
        </w:tc>
        <w:tc>
          <w:tcPr>
            <w:tcW w:w="76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03FA460E">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3</w:t>
            </w:r>
          </w:p>
        </w:tc>
        <w:tc>
          <w:tcPr>
            <w:tcW w:w="6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2ED3141">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18500</w:t>
            </w:r>
          </w:p>
        </w:tc>
      </w:tr>
      <w:tr w14:paraId="6796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rPr>
        <w:tc>
          <w:tcPr>
            <w:tcW w:w="420" w:type="dxa"/>
            <w:tcBorders>
              <w:top w:val="nil"/>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14:paraId="3472C2EC">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10</w:t>
            </w:r>
          </w:p>
        </w:tc>
        <w:tc>
          <w:tcPr>
            <w:tcW w:w="13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379A654">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sz w:val="13"/>
                <w:szCs w:val="13"/>
              </w:rPr>
              <w:t>电气工程及其自动化</w:t>
            </w:r>
          </w:p>
        </w:tc>
        <w:tc>
          <w:tcPr>
            <w:tcW w:w="62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1DD8FB6D">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80</w:t>
            </w:r>
          </w:p>
        </w:tc>
        <w:tc>
          <w:tcPr>
            <w:tcW w:w="7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313B6B77">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68</w:t>
            </w:r>
          </w:p>
        </w:tc>
        <w:tc>
          <w:tcPr>
            <w:tcW w:w="6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655AB49">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0</w:t>
            </w:r>
          </w:p>
        </w:tc>
        <w:tc>
          <w:tcPr>
            <w:tcW w:w="70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C154052">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4</w:t>
            </w:r>
          </w:p>
        </w:tc>
        <w:tc>
          <w:tcPr>
            <w:tcW w:w="76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93ECAD1">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8</w:t>
            </w:r>
          </w:p>
        </w:tc>
        <w:tc>
          <w:tcPr>
            <w:tcW w:w="6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0D9DDA5">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16500</w:t>
            </w:r>
          </w:p>
        </w:tc>
      </w:tr>
      <w:tr w14:paraId="3EBA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rPr>
        <w:tc>
          <w:tcPr>
            <w:tcW w:w="420" w:type="dxa"/>
            <w:tcBorders>
              <w:top w:val="nil"/>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14:paraId="0C8DED78">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11</w:t>
            </w:r>
          </w:p>
        </w:tc>
        <w:tc>
          <w:tcPr>
            <w:tcW w:w="13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600B5B3">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sz w:val="13"/>
                <w:szCs w:val="13"/>
              </w:rPr>
              <w:t>土木工程</w:t>
            </w:r>
          </w:p>
        </w:tc>
        <w:tc>
          <w:tcPr>
            <w:tcW w:w="62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3A17E91">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30</w:t>
            </w:r>
          </w:p>
        </w:tc>
        <w:tc>
          <w:tcPr>
            <w:tcW w:w="7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266D9886">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18</w:t>
            </w:r>
          </w:p>
        </w:tc>
        <w:tc>
          <w:tcPr>
            <w:tcW w:w="6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3E8AC84">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8</w:t>
            </w:r>
          </w:p>
        </w:tc>
        <w:tc>
          <w:tcPr>
            <w:tcW w:w="70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4BDA03D3">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w:t>
            </w:r>
          </w:p>
        </w:tc>
        <w:tc>
          <w:tcPr>
            <w:tcW w:w="76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D0C12A4">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3</w:t>
            </w:r>
          </w:p>
        </w:tc>
        <w:tc>
          <w:tcPr>
            <w:tcW w:w="6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F9ACA7C">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16500</w:t>
            </w:r>
          </w:p>
        </w:tc>
      </w:tr>
      <w:tr w14:paraId="71B8B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20" w:type="dxa"/>
            <w:tcBorders>
              <w:top w:val="nil"/>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14:paraId="0746AD4D">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12</w:t>
            </w:r>
          </w:p>
        </w:tc>
        <w:tc>
          <w:tcPr>
            <w:tcW w:w="13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068032B">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sz w:val="13"/>
                <w:szCs w:val="13"/>
              </w:rPr>
              <w:t>材料成型及控制工程</w:t>
            </w:r>
          </w:p>
        </w:tc>
        <w:tc>
          <w:tcPr>
            <w:tcW w:w="62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F66C3ED">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30</w:t>
            </w:r>
          </w:p>
        </w:tc>
        <w:tc>
          <w:tcPr>
            <w:tcW w:w="7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4C7B4DAA">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17</w:t>
            </w:r>
          </w:p>
        </w:tc>
        <w:tc>
          <w:tcPr>
            <w:tcW w:w="6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21630A6C">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8</w:t>
            </w:r>
          </w:p>
        </w:tc>
        <w:tc>
          <w:tcPr>
            <w:tcW w:w="70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26ECE609">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2</w:t>
            </w:r>
          </w:p>
        </w:tc>
        <w:tc>
          <w:tcPr>
            <w:tcW w:w="76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09D24920">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3</w:t>
            </w:r>
          </w:p>
        </w:tc>
        <w:tc>
          <w:tcPr>
            <w:tcW w:w="6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1F0E74AA">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16500</w:t>
            </w:r>
          </w:p>
        </w:tc>
      </w:tr>
      <w:tr w14:paraId="2530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rPr>
        <w:tc>
          <w:tcPr>
            <w:tcW w:w="420" w:type="dxa"/>
            <w:tcBorders>
              <w:top w:val="nil"/>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14:paraId="6F35074F">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13</w:t>
            </w:r>
          </w:p>
        </w:tc>
        <w:tc>
          <w:tcPr>
            <w:tcW w:w="13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62BB665">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sz w:val="13"/>
                <w:szCs w:val="13"/>
              </w:rPr>
              <w:t>建筑电气与智能化</w:t>
            </w:r>
          </w:p>
        </w:tc>
        <w:tc>
          <w:tcPr>
            <w:tcW w:w="62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4EB3B4B5">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40</w:t>
            </w:r>
          </w:p>
        </w:tc>
        <w:tc>
          <w:tcPr>
            <w:tcW w:w="7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2819144C">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26</w:t>
            </w:r>
          </w:p>
        </w:tc>
        <w:tc>
          <w:tcPr>
            <w:tcW w:w="6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6CB197F">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8</w:t>
            </w:r>
          </w:p>
        </w:tc>
        <w:tc>
          <w:tcPr>
            <w:tcW w:w="70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14E22E40">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2</w:t>
            </w:r>
          </w:p>
        </w:tc>
        <w:tc>
          <w:tcPr>
            <w:tcW w:w="76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2241560E">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4</w:t>
            </w:r>
          </w:p>
        </w:tc>
        <w:tc>
          <w:tcPr>
            <w:tcW w:w="6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780B065">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16500</w:t>
            </w:r>
          </w:p>
        </w:tc>
      </w:tr>
      <w:tr w14:paraId="09A7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rPr>
        <w:tc>
          <w:tcPr>
            <w:tcW w:w="420" w:type="dxa"/>
            <w:tcBorders>
              <w:top w:val="nil"/>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14:paraId="1D564030">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14</w:t>
            </w:r>
          </w:p>
        </w:tc>
        <w:tc>
          <w:tcPr>
            <w:tcW w:w="13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7F13FF0">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sz w:val="13"/>
                <w:szCs w:val="13"/>
              </w:rPr>
              <w:t>电子信息工程</w:t>
            </w:r>
          </w:p>
        </w:tc>
        <w:tc>
          <w:tcPr>
            <w:tcW w:w="62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BFE0DD8">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50</w:t>
            </w:r>
          </w:p>
        </w:tc>
        <w:tc>
          <w:tcPr>
            <w:tcW w:w="7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80DF98E">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43</w:t>
            </w:r>
          </w:p>
        </w:tc>
        <w:tc>
          <w:tcPr>
            <w:tcW w:w="6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1637022">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0</w:t>
            </w:r>
          </w:p>
        </w:tc>
        <w:tc>
          <w:tcPr>
            <w:tcW w:w="70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2BC97667">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2</w:t>
            </w:r>
          </w:p>
        </w:tc>
        <w:tc>
          <w:tcPr>
            <w:tcW w:w="76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0B7D3F3F">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5</w:t>
            </w:r>
          </w:p>
        </w:tc>
        <w:tc>
          <w:tcPr>
            <w:tcW w:w="6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4E17A63B">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16500</w:t>
            </w:r>
          </w:p>
        </w:tc>
      </w:tr>
      <w:tr w14:paraId="45D01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rPr>
        <w:tc>
          <w:tcPr>
            <w:tcW w:w="420" w:type="dxa"/>
            <w:tcBorders>
              <w:top w:val="nil"/>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14:paraId="5B36FA70">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15</w:t>
            </w:r>
          </w:p>
        </w:tc>
        <w:tc>
          <w:tcPr>
            <w:tcW w:w="13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3F33A51">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sz w:val="13"/>
                <w:szCs w:val="13"/>
              </w:rPr>
              <w:t>计算机科学与技术</w:t>
            </w:r>
          </w:p>
        </w:tc>
        <w:tc>
          <w:tcPr>
            <w:tcW w:w="62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03393D50">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50</w:t>
            </w:r>
          </w:p>
        </w:tc>
        <w:tc>
          <w:tcPr>
            <w:tcW w:w="7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34D3B66A">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42</w:t>
            </w:r>
          </w:p>
        </w:tc>
        <w:tc>
          <w:tcPr>
            <w:tcW w:w="6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1F9C497">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0</w:t>
            </w:r>
          </w:p>
        </w:tc>
        <w:tc>
          <w:tcPr>
            <w:tcW w:w="70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4E66D72D">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3</w:t>
            </w:r>
          </w:p>
        </w:tc>
        <w:tc>
          <w:tcPr>
            <w:tcW w:w="76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39B60A4">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5</w:t>
            </w:r>
          </w:p>
        </w:tc>
        <w:tc>
          <w:tcPr>
            <w:tcW w:w="6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434DFA50">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16500</w:t>
            </w:r>
          </w:p>
        </w:tc>
      </w:tr>
      <w:tr w14:paraId="0EC8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rPr>
        <w:tc>
          <w:tcPr>
            <w:tcW w:w="420" w:type="dxa"/>
            <w:tcBorders>
              <w:top w:val="nil"/>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14:paraId="3638D199">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16</w:t>
            </w:r>
          </w:p>
        </w:tc>
        <w:tc>
          <w:tcPr>
            <w:tcW w:w="13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A30021D">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sz w:val="13"/>
                <w:szCs w:val="13"/>
              </w:rPr>
              <w:t>软件工程</w:t>
            </w:r>
          </w:p>
        </w:tc>
        <w:tc>
          <w:tcPr>
            <w:tcW w:w="62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2B394C69">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80</w:t>
            </w:r>
          </w:p>
        </w:tc>
        <w:tc>
          <w:tcPr>
            <w:tcW w:w="7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33EC0C83">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68</w:t>
            </w:r>
          </w:p>
        </w:tc>
        <w:tc>
          <w:tcPr>
            <w:tcW w:w="6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69BA5ED9">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0</w:t>
            </w:r>
          </w:p>
        </w:tc>
        <w:tc>
          <w:tcPr>
            <w:tcW w:w="70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17D69204">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4</w:t>
            </w:r>
          </w:p>
        </w:tc>
        <w:tc>
          <w:tcPr>
            <w:tcW w:w="76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36FF0E0F">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8</w:t>
            </w:r>
          </w:p>
        </w:tc>
        <w:tc>
          <w:tcPr>
            <w:tcW w:w="6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3FA578C">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16500</w:t>
            </w:r>
          </w:p>
        </w:tc>
      </w:tr>
      <w:tr w14:paraId="751F4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rPr>
        <w:tc>
          <w:tcPr>
            <w:tcW w:w="1810" w:type="dxa"/>
            <w:gridSpan w:val="2"/>
            <w:tcBorders>
              <w:top w:val="nil"/>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14:paraId="428DDD13">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总计</w:t>
            </w:r>
          </w:p>
        </w:tc>
        <w:tc>
          <w:tcPr>
            <w:tcW w:w="62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3F497726">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800</w:t>
            </w:r>
          </w:p>
        </w:tc>
        <w:tc>
          <w:tcPr>
            <w:tcW w:w="7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0588F983">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584</w:t>
            </w:r>
          </w:p>
        </w:tc>
        <w:tc>
          <w:tcPr>
            <w:tcW w:w="69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716A30C8">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96</w:t>
            </w:r>
          </w:p>
        </w:tc>
        <w:tc>
          <w:tcPr>
            <w:tcW w:w="70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0345DEA">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40</w:t>
            </w:r>
          </w:p>
        </w:tc>
        <w:tc>
          <w:tcPr>
            <w:tcW w:w="76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5D37D59E">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80</w:t>
            </w:r>
          </w:p>
        </w:tc>
        <w:tc>
          <w:tcPr>
            <w:tcW w:w="640" w:type="dxa"/>
            <w:tcBorders>
              <w:top w:val="nil"/>
              <w:left w:val="nil"/>
              <w:bottom w:val="single" w:color="000000" w:sz="4" w:space="0"/>
              <w:right w:val="single" w:color="000000" w:sz="4" w:space="0"/>
            </w:tcBorders>
            <w:shd w:val="clear"/>
            <w:tcMar>
              <w:top w:w="0" w:type="dxa"/>
              <w:left w:w="70" w:type="dxa"/>
              <w:bottom w:w="0" w:type="dxa"/>
              <w:right w:w="70" w:type="dxa"/>
            </w:tcMar>
            <w:vAlign w:val="center"/>
          </w:tcPr>
          <w:p w14:paraId="00628FCB">
            <w:pPr>
              <w:pStyle w:val="2"/>
              <w:keepNext w:val="0"/>
              <w:keepLines w:val="0"/>
              <w:widowControl/>
              <w:suppressLineNumbers w:val="0"/>
              <w:spacing w:before="0" w:beforeAutospacing="0" w:after="100" w:afterAutospacing="0"/>
              <w:ind w:left="0" w:right="0"/>
              <w:jc w:val="center"/>
              <w:textAlignment w:val="center"/>
            </w:pPr>
            <w:r>
              <w:rPr>
                <w:rFonts w:hint="eastAsia" w:ascii="宋体" w:hAnsi="宋体" w:eastAsia="宋体" w:cs="宋体"/>
                <w:color w:val="333333"/>
                <w:sz w:val="13"/>
                <w:szCs w:val="13"/>
              </w:rPr>
              <w:t>—</w:t>
            </w:r>
          </w:p>
        </w:tc>
      </w:tr>
    </w:tbl>
    <w:p w14:paraId="7F575212">
      <w:pPr>
        <w:pStyle w:val="2"/>
        <w:keepNext w:val="0"/>
        <w:keepLines w:val="0"/>
        <w:widowControl/>
        <w:suppressLineNumbers w:val="0"/>
        <w:spacing w:before="120" w:beforeAutospacing="0" w:after="100" w:afterAutospacing="0"/>
        <w:ind w:left="110" w:right="0"/>
      </w:pPr>
      <w:r>
        <w:rPr>
          <w:rFonts w:hint="eastAsia" w:ascii="仿宋" w:hAnsi="仿宋" w:eastAsia="仿宋" w:cs="仿宋"/>
          <w:i w:val="0"/>
          <w:iCs w:val="0"/>
          <w:caps w:val="0"/>
          <w:color w:val="333333"/>
          <w:spacing w:val="10"/>
          <w:sz w:val="21"/>
          <w:szCs w:val="21"/>
          <w:shd w:val="clear" w:fill="F5F5F9"/>
        </w:rPr>
        <w:t>注：最终各专业招生计划以省教育考试院公布的为准。</w:t>
      </w:r>
    </w:p>
    <w:p w14:paraId="3669BEFE">
      <w:pPr>
        <w:pStyle w:val="2"/>
        <w:keepNext w:val="0"/>
        <w:keepLines w:val="0"/>
        <w:widowControl/>
        <w:suppressLineNumbers w:val="0"/>
        <w:spacing w:before="0" w:beforeAutospacing="0" w:after="100" w:afterAutospacing="0" w:line="370" w:lineRule="atLeast"/>
        <w:ind w:left="0" w:right="0" w:firstLine="400"/>
      </w:pPr>
      <w:r>
        <w:rPr>
          <w:rStyle w:val="5"/>
          <w:rFonts w:hint="eastAsia" w:ascii="黑体" w:hAnsi="宋体" w:eastAsia="黑体" w:cs="黑体"/>
          <w:b/>
          <w:bCs/>
          <w:i w:val="0"/>
          <w:iCs w:val="0"/>
          <w:caps w:val="0"/>
          <w:color w:val="333333"/>
          <w:spacing w:val="-10"/>
          <w:sz w:val="21"/>
          <w:szCs w:val="21"/>
          <w:shd w:val="clear" w:fill="F5F5F9"/>
        </w:rPr>
        <w:t>三、招生对象</w:t>
      </w:r>
    </w:p>
    <w:p w14:paraId="461F6939">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1. 江西省普通高校高职（专科）应届毕业生，在2025年7月31日前可取得毕业证。</w:t>
      </w:r>
    </w:p>
    <w:p w14:paraId="7A6B75E1">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2. 已退役大学生士兵（含2025年上半年退役大学生士兵）在2025年7月31日前可取得或已取得毕业证，且符合下列条件之一 ：</w:t>
      </w:r>
    </w:p>
    <w:p w14:paraId="36DAE36B">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（1）江西省普通高校高职（专科）学生在校期间或毕业后应征入伍。</w:t>
      </w:r>
    </w:p>
    <w:p w14:paraId="122DCC52">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（2）外省普通高校高职（专科）学生在校期间或毕业后，在江西应征入伍。</w:t>
      </w:r>
    </w:p>
    <w:p w14:paraId="4A57C58C">
      <w:pPr>
        <w:pStyle w:val="2"/>
        <w:keepNext w:val="0"/>
        <w:keepLines w:val="0"/>
        <w:widowControl/>
        <w:suppressLineNumbers w:val="0"/>
        <w:spacing w:before="0" w:beforeAutospacing="0" w:after="100" w:afterAutospacing="0" w:line="370" w:lineRule="atLeast"/>
        <w:ind w:left="0" w:right="0" w:firstLine="400"/>
      </w:pPr>
      <w:r>
        <w:rPr>
          <w:rStyle w:val="5"/>
          <w:rFonts w:hint="eastAsia" w:ascii="黑体" w:hAnsi="宋体" w:eastAsia="黑体" w:cs="黑体"/>
          <w:b/>
          <w:bCs/>
          <w:i w:val="0"/>
          <w:iCs w:val="0"/>
          <w:caps w:val="0"/>
          <w:color w:val="333333"/>
          <w:spacing w:val="-10"/>
          <w:sz w:val="21"/>
          <w:szCs w:val="21"/>
          <w:shd w:val="clear" w:fill="F5F5F9"/>
        </w:rPr>
        <w:t>四、报名、资格审核、缴费</w:t>
      </w:r>
    </w:p>
    <w:p w14:paraId="03AED32B">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专升本报名、资格审核等环节按照《关于做好江西省2025年普通高校专升本考试招生报名工作的通知》具体要求执行。资格审查贯穿考试录取全过程。对不符合报名、录取条件的考生，确认后一律取消资格。</w:t>
      </w:r>
    </w:p>
    <w:p w14:paraId="61F196CD">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所有报名审核通过的考生应于2月24—27日内，登陆江西省教育考试院网“专升本志愿填报系统”完成网上缴费（130元/人）并填报志愿，逾期未完成缴费和填报志愿的视为自动放弃报考资格，网上缴费成功后不予退费。</w:t>
      </w:r>
    </w:p>
    <w:p w14:paraId="672090DA">
      <w:pPr>
        <w:pStyle w:val="2"/>
        <w:keepNext w:val="0"/>
        <w:keepLines w:val="0"/>
        <w:widowControl/>
        <w:suppressLineNumbers w:val="0"/>
        <w:spacing w:before="0" w:beforeAutospacing="0" w:after="100" w:afterAutospacing="0" w:line="370" w:lineRule="atLeast"/>
        <w:ind w:left="0" w:right="0" w:firstLine="400"/>
      </w:pPr>
      <w:r>
        <w:rPr>
          <w:rStyle w:val="5"/>
          <w:rFonts w:hint="eastAsia" w:ascii="黑体" w:hAnsi="宋体" w:eastAsia="黑体" w:cs="黑体"/>
          <w:b/>
          <w:bCs/>
          <w:i w:val="0"/>
          <w:iCs w:val="0"/>
          <w:caps w:val="0"/>
          <w:color w:val="333333"/>
          <w:spacing w:val="-10"/>
          <w:sz w:val="21"/>
          <w:szCs w:val="21"/>
          <w:shd w:val="clear" w:fill="F5F5F9"/>
        </w:rPr>
        <w:t>五、志愿填报</w:t>
      </w:r>
    </w:p>
    <w:p w14:paraId="7ADE9681">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（一）志愿设置。2025年专升本考生志愿分普通计划及专项计划进行录取。</w:t>
      </w:r>
    </w:p>
    <w:p w14:paraId="22EB6928">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1.普通计划。所有通过资格审核的考生均可以填报此批次志愿。平行志愿均采用“院校+专业”模式，即1个院校的1个专业为1个志愿。</w:t>
      </w:r>
    </w:p>
    <w:p w14:paraId="5D5A7B45">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2.脱贫家庭（原建档立卡贫困家庭）学生专项计划。招收脱贫家庭（原建档立卡贫困家庭）高职（专科）毕业生。</w:t>
      </w:r>
    </w:p>
    <w:p w14:paraId="72FB04CA">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2.大国工匠培养强基工程项目。2025年，将在江西财经大学、华东交通大学、东华理工大学、江西理工大学、南昌航空大学、江西科技师范大学、江西中医药大学设立“大国工匠培养强基工程项目”,招收全省普通高职（专科）院校优秀应届毕业生。我校无相关招生计划。</w:t>
      </w:r>
    </w:p>
    <w:p w14:paraId="7718080F">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3.获奖学生（含高水平运动员）专项计划。学生在高职（专科）就读期间获得相应奖项资格且已通过资格审核的考生填报。</w:t>
      </w:r>
    </w:p>
    <w:p w14:paraId="2D8AAEF7">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4.退役大学生士兵免试专项计划。我校“免试专项计划”共计96名，限具有退役大学生士兵免试资格且已通过资格审核的考生，依据《南昌大学共青学院2025年退役大学生士兵免试招生办法》,按照免试考查成绩排名择优录取。</w:t>
      </w:r>
    </w:p>
    <w:p w14:paraId="15161558">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5.世界技能大赛获奖选手免试专项计划。凡在世界技能组织主办的“世界技能大赛(World  Skills  Competition)”中获奖的中国国家队选手，且符合有关我省专升本报名条件的高职（专科）应届毕业生，可保送至高校相应的本科专业。</w:t>
      </w:r>
    </w:p>
    <w:p w14:paraId="729872E0">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二）志愿填报。所有考生须自行登录江西省教育考试院网“专升本志愿填报系统”,选报我校院校代码为8302,根据《实施方案》划分的9个考试大类和各招生高校专升本招生章程（简章）中明确的招生计划、专业及有关要求，并对照《江西省2025年普通高校专升本对应专业指导目录》（以下简称《专业指导目录》）选择填报志愿。</w:t>
      </w:r>
    </w:p>
    <w:p w14:paraId="1CCA92BF">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三）缺额征集志愿填报。梯度志愿梯度投档完成后，未能录取的退役大学生士兵，可在规定时间内网上填报1个缺额征集志愿（须为本人参加综合评价合格的高校）。征集志愿投档、录取参照梯度志愿原则执行。“大国工匠培养强基工程项目”“脱贫专项计划”“获奖学生专项计划”“世界技能大赛获奖选手免试计划”以及“普通计划”缺额征集志愿网上填报时间另行通知，具体缺额专业、计划情况须以实际录取统计数据为准，届时考生关注省教育考试院网上发布的公告，以公告内容为准。</w:t>
      </w:r>
    </w:p>
    <w:p w14:paraId="797387D2">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（四）填报注意事项。</w:t>
      </w:r>
    </w:p>
    <w:p w14:paraId="5DCC89A3">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1.考生须在9个考试大类中选报其中1个大类并参加该大类专业基础及技能知识课考试。</w:t>
      </w:r>
    </w:p>
    <w:p w14:paraId="295D7848">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2.符合多个录取批次的考生应同时填报符合资格且通过资格审核的各批次志愿。已被免试录取的考生不再具有参加统一考试及其他批次录取资格。</w:t>
      </w:r>
    </w:p>
    <w:p w14:paraId="5173E27F">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3.2月集中填报志愿，考生可以对填报志愿修改一次，逾期后不得更改、补报。征集志愿填报提交后不得修改。</w:t>
      </w:r>
    </w:p>
    <w:p w14:paraId="0D29F6A1">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4.考生须完成缴费再填报志愿，网上缴费时间为2月24—27日，具体时间依据省教育厅相关文件要求。</w:t>
      </w:r>
    </w:p>
    <w:p w14:paraId="11301F3E">
      <w:pPr>
        <w:pStyle w:val="2"/>
        <w:keepNext w:val="0"/>
        <w:keepLines w:val="0"/>
        <w:widowControl/>
        <w:suppressLineNumbers w:val="0"/>
        <w:spacing w:before="0" w:beforeAutospacing="0" w:after="100" w:afterAutospacing="0" w:line="370" w:lineRule="atLeast"/>
        <w:ind w:left="0" w:right="0" w:firstLine="400"/>
      </w:pPr>
      <w:r>
        <w:rPr>
          <w:rStyle w:val="5"/>
          <w:rFonts w:hint="eastAsia" w:ascii="黑体" w:hAnsi="宋体" w:eastAsia="黑体" w:cs="黑体"/>
          <w:b/>
          <w:bCs/>
          <w:i w:val="0"/>
          <w:iCs w:val="0"/>
          <w:caps w:val="0"/>
          <w:color w:val="333333"/>
          <w:spacing w:val="-10"/>
          <w:sz w:val="21"/>
          <w:szCs w:val="21"/>
          <w:shd w:val="clear" w:fill="F5F5F9"/>
        </w:rPr>
        <w:t>六、考试</w:t>
      </w:r>
    </w:p>
    <w:p w14:paraId="7F54C094">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（一）考试时间</w:t>
      </w:r>
    </w:p>
    <w:p w14:paraId="064EEAD4">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统一考试时间为：2025年3月23日。公共基础课考试时间为上午9:00—11:30,专业基础及技能知识课考试时间为下午15:00—17:00。</w:t>
      </w:r>
    </w:p>
    <w:p w14:paraId="518392B8">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（二）考试科目</w:t>
      </w:r>
    </w:p>
    <w:p w14:paraId="45487690">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考试科目包括公共基础课和专业基础及技能知识课。</w:t>
      </w:r>
    </w:p>
    <w:p w14:paraId="0AF44413">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1.公共基础课不分学科专业，所有考生统一考试“政治+英语+信息技术"3门课程的综合卷，分值300分。</w:t>
      </w:r>
    </w:p>
    <w:p w14:paraId="467B01E6">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2.专业基础及技能知识课，考生按选报9个招考类别中的1个大类分别参加《实施方案》规定对应的1门科目考试，满分150分。</w:t>
      </w:r>
    </w:p>
    <w:p w14:paraId="427FE59D">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（三）考点设置</w:t>
      </w:r>
    </w:p>
    <w:p w14:paraId="1EFC99AD">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考点由各设区市教育考试中心（考试院）设置。考生在专科就读（毕业）院校（校本部）所在设区市指定的考点参加考试。省外高校毕业的大学生退役士兵如未被免试录取的统一在南昌市指定考点参加考试。</w:t>
      </w:r>
    </w:p>
    <w:p w14:paraId="2A9C233C">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（四）准考证编排</w:t>
      </w:r>
    </w:p>
    <w:p w14:paraId="48C0B059">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全省统一编排准考证，考生于2025年3月20—22日自行登录江西省教育考试院网打印准考证。已被免试录取的考生不再编排准考证。</w:t>
      </w:r>
    </w:p>
    <w:p w14:paraId="39A33E52">
      <w:pPr>
        <w:pStyle w:val="2"/>
        <w:keepNext w:val="0"/>
        <w:keepLines w:val="0"/>
        <w:widowControl/>
        <w:suppressLineNumbers w:val="0"/>
        <w:spacing w:before="0" w:beforeAutospacing="0" w:after="100" w:afterAutospacing="0" w:line="370" w:lineRule="atLeast"/>
        <w:ind w:left="0" w:right="0" w:firstLine="400"/>
      </w:pPr>
      <w:r>
        <w:rPr>
          <w:rStyle w:val="5"/>
          <w:rFonts w:hint="eastAsia" w:ascii="黑体" w:hAnsi="宋体" w:eastAsia="黑体" w:cs="黑体"/>
          <w:b/>
          <w:bCs/>
          <w:i w:val="0"/>
          <w:iCs w:val="0"/>
          <w:caps w:val="0"/>
          <w:color w:val="333333"/>
          <w:spacing w:val="-10"/>
          <w:sz w:val="21"/>
          <w:szCs w:val="21"/>
          <w:shd w:val="clear" w:fill="F5F5F9"/>
        </w:rPr>
        <w:t>七、评卷、成绩复核</w:t>
      </w:r>
    </w:p>
    <w:p w14:paraId="59958F0F">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全省统一组织评卷、统分工作，考生可于2025年4月8日后登录“专升本管理系统”查询本人成绩。考生对本人成绩有疑义的，可于4月9—10日在网上提出成绩复核申请，4月13日在网上查询成绩复核结果。</w:t>
      </w:r>
    </w:p>
    <w:p w14:paraId="3E90E3EB">
      <w:pPr>
        <w:pStyle w:val="2"/>
        <w:keepNext w:val="0"/>
        <w:keepLines w:val="0"/>
        <w:widowControl/>
        <w:suppressLineNumbers w:val="0"/>
        <w:spacing w:before="0" w:beforeAutospacing="0" w:after="100" w:afterAutospacing="0" w:line="370" w:lineRule="atLeast"/>
        <w:ind w:left="0" w:right="0" w:firstLine="400"/>
      </w:pPr>
      <w:r>
        <w:rPr>
          <w:rStyle w:val="5"/>
          <w:rFonts w:hint="eastAsia" w:ascii="黑体" w:hAnsi="宋体" w:eastAsia="黑体" w:cs="黑体"/>
          <w:b/>
          <w:bCs/>
          <w:i w:val="0"/>
          <w:iCs w:val="0"/>
          <w:caps w:val="0"/>
          <w:color w:val="333333"/>
          <w:spacing w:val="-10"/>
          <w:sz w:val="21"/>
          <w:szCs w:val="21"/>
          <w:shd w:val="clear" w:fill="F5F5F9"/>
        </w:rPr>
        <w:t>八、录取</w:t>
      </w:r>
    </w:p>
    <w:p w14:paraId="31772B0C">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（一）考试院按9个考试大类分别划定全省最低控制分数线。</w:t>
      </w:r>
    </w:p>
    <w:p w14:paraId="1CBF8472">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（二）依据考生公共基础课和专业基础及技能知识课的总成绩从高到低排序投档，总分相同时专业基础及技能知识课优先，其次按政治、英语、信息技术课程顺序，单科分数高低排序录取。</w:t>
      </w:r>
    </w:p>
    <w:p w14:paraId="5C2D4051">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（三）未被录取的考生，在规定的时间内按照省教育考试院公布的征集志愿计划，网上进行征集志愿填报，征集志愿填报专业必须在《专业指导目录》规定的对应专业范围内进行。</w:t>
      </w:r>
    </w:p>
    <w:p w14:paraId="4DEAFAFA">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（四）“免试计划”和“专项计划”未完成的空余计划，我校在普通计划投档前调整至“普通计划”。</w:t>
      </w:r>
    </w:p>
    <w:p w14:paraId="0DEDC929">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（五）考生志愿填报是一种电子契约，凡按志愿投档且符合录取条件的考生，不得要求退档。</w:t>
      </w:r>
    </w:p>
    <w:p w14:paraId="2B6595B2">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（六）录取结束后，我校会及时公布预录取名单，并发放录取通知书。</w:t>
      </w:r>
    </w:p>
    <w:p w14:paraId="29104818">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（七）各批次录取工作具体时间安排另行发布。</w:t>
      </w:r>
    </w:p>
    <w:p w14:paraId="0B5FAA25">
      <w:pPr>
        <w:pStyle w:val="2"/>
        <w:keepNext w:val="0"/>
        <w:keepLines w:val="0"/>
        <w:widowControl/>
        <w:suppressLineNumbers w:val="0"/>
        <w:spacing w:before="0" w:beforeAutospacing="0" w:after="100" w:afterAutospacing="0" w:line="370" w:lineRule="atLeast"/>
        <w:ind w:left="0" w:right="0" w:firstLine="400"/>
      </w:pPr>
      <w:r>
        <w:rPr>
          <w:rStyle w:val="5"/>
          <w:rFonts w:hint="eastAsia" w:ascii="黑体" w:hAnsi="宋体" w:eastAsia="黑体" w:cs="黑体"/>
          <w:b/>
          <w:bCs/>
          <w:i w:val="0"/>
          <w:iCs w:val="0"/>
          <w:caps w:val="0"/>
          <w:color w:val="333333"/>
          <w:spacing w:val="-10"/>
          <w:sz w:val="21"/>
          <w:szCs w:val="21"/>
          <w:shd w:val="clear" w:fill="F5F5F9"/>
        </w:rPr>
        <w:t>九、学费和待遇</w:t>
      </w:r>
    </w:p>
    <w:p w14:paraId="2A0605CA">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进入本科阶段学习的学生，原则上编入学校本科三年级学习。按所录专业的学费和住宿收费标准缴纳有关费用，享受统招本科生相同的待遇。学习期满，对学完培养计划规定的全部课程且考核合格准予毕业的学生，按教育部〔2002〕15号文件要求颁发南昌大学共青学院本科毕业证书（注明专科起点和实际学习时间）;符合学位授予条件的，授予南昌大学共青学院学士学位。</w:t>
      </w:r>
    </w:p>
    <w:p w14:paraId="7F7DB70D">
      <w:pPr>
        <w:pStyle w:val="2"/>
        <w:keepNext w:val="0"/>
        <w:keepLines w:val="0"/>
        <w:widowControl/>
        <w:suppressLineNumbers w:val="0"/>
        <w:spacing w:before="0" w:beforeAutospacing="0" w:after="100" w:afterAutospacing="0" w:line="370" w:lineRule="atLeast"/>
        <w:ind w:left="0" w:right="0" w:firstLine="400"/>
      </w:pPr>
      <w:r>
        <w:rPr>
          <w:rStyle w:val="5"/>
          <w:rFonts w:hint="eastAsia" w:ascii="黑体" w:hAnsi="宋体" w:eastAsia="黑体" w:cs="黑体"/>
          <w:b/>
          <w:bCs/>
          <w:i w:val="0"/>
          <w:iCs w:val="0"/>
          <w:caps w:val="0"/>
          <w:color w:val="333333"/>
          <w:spacing w:val="-10"/>
          <w:sz w:val="21"/>
          <w:szCs w:val="21"/>
          <w:shd w:val="clear" w:fill="F5F5F9"/>
        </w:rPr>
        <w:t>十、入学与注册</w:t>
      </w:r>
    </w:p>
    <w:p w14:paraId="71E10098">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按江西省普通高校专升本考试招生规定录取的新生，持录取通知书，按学校有关要求和规定的期限到校办理入学手续。因故不能按期入学的，应当向学校请假。未经请假或者请假逾期的，除因不可抗力等正当事由以外，视为放弃入学资格。</w:t>
      </w:r>
    </w:p>
    <w:p w14:paraId="09660D44">
      <w:pPr>
        <w:pStyle w:val="2"/>
        <w:keepNext w:val="0"/>
        <w:keepLines w:val="0"/>
        <w:widowControl/>
        <w:suppressLineNumbers w:val="0"/>
        <w:spacing w:before="0" w:beforeAutospacing="0" w:after="100" w:afterAutospacing="0" w:line="370" w:lineRule="atLeast"/>
        <w:ind w:left="0" w:right="0" w:firstLine="400"/>
      </w:pPr>
      <w:r>
        <w:rPr>
          <w:rStyle w:val="5"/>
          <w:rFonts w:hint="eastAsia" w:ascii="黑体" w:hAnsi="宋体" w:eastAsia="黑体" w:cs="黑体"/>
          <w:b/>
          <w:bCs/>
          <w:i w:val="0"/>
          <w:iCs w:val="0"/>
          <w:caps w:val="0"/>
          <w:color w:val="333333"/>
          <w:spacing w:val="-10"/>
          <w:sz w:val="21"/>
          <w:szCs w:val="21"/>
          <w:shd w:val="clear" w:fill="F5F5F9"/>
        </w:rPr>
        <w:t>十一、贫困资助</w:t>
      </w:r>
    </w:p>
    <w:p w14:paraId="3D54A003">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学校为确保经济困难的学生完成学业，将提供一系列资助项目，包括：贫困学生可申请国家助学贷款、可缓交或减免部分学杂费，与此同时，学校对家庭经济困难学生提供临时困难补助，每生每年1000元；每年为家庭经济困难的学生提供若干勤工助学岗位，让其获取劳动酬金。</w:t>
      </w:r>
    </w:p>
    <w:p w14:paraId="06BA0D45">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注：学生资助、生源地贷款等政策可致电我校学生资助管理中心咨询(办公电话：0792-4379853)。</w:t>
      </w:r>
    </w:p>
    <w:p w14:paraId="1D8A64D1">
      <w:pPr>
        <w:pStyle w:val="2"/>
        <w:keepNext w:val="0"/>
        <w:keepLines w:val="0"/>
        <w:widowControl/>
        <w:suppressLineNumbers w:val="0"/>
        <w:spacing w:before="0" w:beforeAutospacing="0" w:after="100" w:afterAutospacing="0" w:line="370" w:lineRule="atLeast"/>
        <w:ind w:left="0" w:right="0" w:firstLine="400"/>
      </w:pPr>
      <w:r>
        <w:rPr>
          <w:rStyle w:val="5"/>
          <w:rFonts w:hint="eastAsia" w:ascii="黑体" w:hAnsi="宋体" w:eastAsia="黑体" w:cs="黑体"/>
          <w:b/>
          <w:bCs/>
          <w:i w:val="0"/>
          <w:iCs w:val="0"/>
          <w:caps w:val="0"/>
          <w:color w:val="333333"/>
          <w:spacing w:val="-10"/>
          <w:sz w:val="21"/>
          <w:szCs w:val="21"/>
          <w:shd w:val="clear" w:fill="F5F5F9"/>
        </w:rPr>
        <w:t>十二、新生入学资格复查</w:t>
      </w:r>
    </w:p>
    <w:p w14:paraId="7E92BC23">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新生入学后，学校将在三个月内进行入学资格复查。复查不合格者，学校将根据国家有关规定予以处理，直至取消入学资格。凡发现有弄虚作假者，一经查实，取消其入学资格或学籍。</w:t>
      </w:r>
    </w:p>
    <w:p w14:paraId="0ACFC0C2">
      <w:pPr>
        <w:pStyle w:val="2"/>
        <w:keepNext w:val="0"/>
        <w:keepLines w:val="0"/>
        <w:widowControl/>
        <w:suppressLineNumbers w:val="0"/>
        <w:spacing w:before="0" w:beforeAutospacing="0" w:after="100" w:afterAutospacing="0" w:line="370" w:lineRule="atLeast"/>
        <w:ind w:left="0" w:right="0" w:firstLine="400"/>
      </w:pPr>
      <w:r>
        <w:rPr>
          <w:rStyle w:val="5"/>
          <w:rFonts w:hint="eastAsia" w:ascii="黑体" w:hAnsi="宋体" w:eastAsia="黑体" w:cs="黑体"/>
          <w:b/>
          <w:bCs/>
          <w:i w:val="0"/>
          <w:iCs w:val="0"/>
          <w:caps w:val="0"/>
          <w:color w:val="333333"/>
          <w:spacing w:val="-10"/>
          <w:sz w:val="21"/>
          <w:szCs w:val="21"/>
          <w:shd w:val="clear" w:fill="F5F5F9"/>
        </w:rPr>
        <w:t>十三、招生咨询、信息发布及监督</w:t>
      </w:r>
    </w:p>
    <w:p w14:paraId="5731F1BC">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1.在2025年专升本招生咨询中，学校工作人员的意见、建议仅作为考生填报志愿的参考。学校招生录取有关信息通过印制报考指南、南昌大学共青学院招生信息网、教育部及各省（区、市）招生主管部门的专升本信息平台等渠道统一发布。</w:t>
      </w:r>
    </w:p>
    <w:p w14:paraId="6A4CDF15">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学校性质：独立学院</w:t>
      </w:r>
    </w:p>
    <w:p w14:paraId="72ED89DB">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学校地址：江西省共青城市南湖大道465号</w:t>
      </w:r>
    </w:p>
    <w:p w14:paraId="0342B407">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邮政编码：332020</w:t>
      </w:r>
    </w:p>
    <w:p w14:paraId="5A9D3744">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学校网址：www.ndgy.cn</w:t>
      </w:r>
    </w:p>
    <w:p w14:paraId="535AEC2F">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招生信息网网址：zsjy.ndgy.cn</w:t>
      </w:r>
    </w:p>
    <w:p w14:paraId="39D7CE69">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工作电子邮箱：897240269@qq.com</w:t>
      </w:r>
    </w:p>
    <w:p w14:paraId="05EADE36">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招生咨询电话：0792-4341913</w:t>
      </w:r>
    </w:p>
    <w:p w14:paraId="4C0442C2">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2.学校2025年专升本招生工作接受教育部、各省（区、市）招生主管部门、纪检部门、考生和社会各界的监督，学校纪检部门全程监督并设立监督电话、电子邮箱。</w:t>
      </w:r>
    </w:p>
    <w:p w14:paraId="10FEEB89">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监督电话：0792-4342912</w:t>
      </w:r>
    </w:p>
    <w:p w14:paraId="4928F36F">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电子邮箱：838059110@qq.com</w:t>
      </w:r>
    </w:p>
    <w:p w14:paraId="74C4AEB9">
      <w:pPr>
        <w:pStyle w:val="2"/>
        <w:keepNext w:val="0"/>
        <w:keepLines w:val="0"/>
        <w:widowControl/>
        <w:suppressLineNumbers w:val="0"/>
        <w:spacing w:before="0" w:beforeAutospacing="0" w:after="100" w:afterAutospacing="0" w:line="370" w:lineRule="atLeast"/>
        <w:ind w:left="0" w:right="0" w:firstLine="400"/>
      </w:pPr>
      <w:r>
        <w:rPr>
          <w:rStyle w:val="5"/>
          <w:rFonts w:hint="eastAsia" w:ascii="黑体" w:hAnsi="宋体" w:eastAsia="黑体" w:cs="黑体"/>
          <w:b/>
          <w:bCs/>
          <w:i w:val="0"/>
          <w:iCs w:val="0"/>
          <w:caps w:val="0"/>
          <w:color w:val="333333"/>
          <w:spacing w:val="-10"/>
          <w:sz w:val="21"/>
          <w:szCs w:val="21"/>
          <w:shd w:val="clear" w:fill="F5F5F9"/>
        </w:rPr>
        <w:t>十四、其他事项</w:t>
      </w:r>
    </w:p>
    <w:p w14:paraId="7DA710A2">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1. “专升本”招生专业、计划以及“专升本”其他相关事宜请登录南昌大学共青学院招生信息网(zsjy.ndgy.cn)“招考快讯”栏目查询。</w:t>
      </w:r>
    </w:p>
    <w:p w14:paraId="7C65CF9F">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2.考生资格审查贯穿考试录取全过程，一旦发现考生弄虚作假，立即取消考试、录取资格，情节严重的，将移交相关部门处理。</w:t>
      </w:r>
    </w:p>
    <w:p w14:paraId="3A014AF7">
      <w:pPr>
        <w:pStyle w:val="2"/>
        <w:keepNext w:val="0"/>
        <w:keepLines w:val="0"/>
        <w:widowControl/>
        <w:suppressLineNumbers w:val="0"/>
        <w:spacing w:before="0" w:beforeAutospacing="0" w:after="100" w:afterAutospacing="0" w:line="370" w:lineRule="atLeast"/>
        <w:ind w:left="0" w:right="0" w:firstLine="430"/>
      </w:pPr>
      <w:r>
        <w:rPr>
          <w:rFonts w:hint="eastAsia" w:ascii="仿宋" w:hAnsi="仿宋" w:eastAsia="仿宋" w:cs="仿宋"/>
          <w:i w:val="0"/>
          <w:iCs w:val="0"/>
          <w:caps w:val="0"/>
          <w:color w:val="333333"/>
          <w:spacing w:val="0"/>
          <w:sz w:val="21"/>
          <w:szCs w:val="21"/>
          <w:shd w:val="clear" w:fill="F5F5F9"/>
        </w:rPr>
        <w:t>3.本招生简章解释权归学校招生就业处。</w:t>
      </w:r>
    </w:p>
    <w:p w14:paraId="01D761F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241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2025-02-17T02:58:48Z</dcterms:created>
  <dc:creator>DELL</dc:creator>
  <cp:lastModifiedBy>长乐</cp:lastModifiedBy>
  <dcterms:modified xsi:type="dcterms:W3CDTF">2025-02-17T02:58:51Z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AFFFDD89BB9F48688AA7BDF8F907A0F7_12</vt:lpwstr>
  </property>
</Properties>
</file>