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F45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ind w:left="0" w:right="0" w:firstLine="0"/>
        <w:jc w:val="center"/>
        <w:rPr>
          <w:rFonts w:ascii="微软雅黑" w:hAnsi="微软雅黑" w:eastAsia="微软雅黑" w:cs="微软雅黑"/>
          <w:i w:val="0"/>
          <w:iCs w:val="0"/>
          <w:caps w:val="0"/>
          <w:color w:val="000000"/>
          <w:spacing w:val="0"/>
          <w:sz w:val="22"/>
          <w:szCs w:val="22"/>
        </w:rPr>
      </w:pPr>
      <w:r>
        <w:rPr>
          <w:rFonts w:hint="eastAsia" w:ascii="微软雅黑" w:hAnsi="微软雅黑" w:eastAsia="微软雅黑" w:cs="微软雅黑"/>
          <w:i w:val="0"/>
          <w:iCs w:val="0"/>
          <w:caps w:val="0"/>
          <w:color w:val="000000"/>
          <w:spacing w:val="0"/>
          <w:sz w:val="22"/>
          <w:szCs w:val="22"/>
          <w:bdr w:val="none" w:color="auto" w:sz="0" w:space="0"/>
          <w:shd w:val="clear" w:fill="FFFFFF"/>
        </w:rPr>
        <w:t>南昌应用技术师范学院2025年退役大学生士兵免试专升本招生简章</w:t>
      </w:r>
    </w:p>
    <w:p w14:paraId="50E283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250" w:afterAutospacing="0"/>
        <w:ind w:left="0" w:right="0" w:firstLine="0"/>
        <w:jc w:val="center"/>
        <w:rPr>
          <w:rFonts w:hint="eastAsia" w:ascii="微软雅黑" w:hAnsi="微软雅黑" w:eastAsia="微软雅黑" w:cs="微软雅黑"/>
          <w:i w:val="0"/>
          <w:iCs w:val="0"/>
          <w:caps w:val="0"/>
          <w:color w:val="888888"/>
          <w:spacing w:val="0"/>
          <w:sz w:val="15"/>
          <w:szCs w:val="15"/>
        </w:rPr>
      </w:pPr>
      <w:r>
        <w:rPr>
          <w:rFonts w:hint="eastAsia" w:ascii="微软雅黑" w:hAnsi="微软雅黑" w:eastAsia="微软雅黑" w:cs="微软雅黑"/>
          <w:i w:val="0"/>
          <w:iCs w:val="0"/>
          <w:caps w:val="0"/>
          <w:color w:val="888888"/>
          <w:spacing w:val="0"/>
          <w:kern w:val="0"/>
          <w:sz w:val="15"/>
          <w:szCs w:val="15"/>
          <w:bdr w:val="none" w:color="auto" w:sz="0" w:space="0"/>
          <w:shd w:val="clear" w:fill="FFFFFF"/>
          <w:lang w:val="en-US" w:eastAsia="zh-CN" w:bidi="ar"/>
        </w:rPr>
        <w:t>管理员2025-01-261358</w:t>
      </w:r>
    </w:p>
    <w:p w14:paraId="6A3453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根据江西省教育厅《江西省2025年普通高校专升本考试招生实施方案》(赣教高字〔2024〕53号)和《关于做好江西省2025年普通高校专升本考试招生报名工作的通知》(赣考院普〔2024〕28号)要求，结合我校实际情况，特制定2025年专升本退役大学生士兵免试招生简章，具体事项如下：</w:t>
      </w:r>
    </w:p>
    <w:p w14:paraId="115956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3"/>
        <w:jc w:val="both"/>
      </w:pPr>
      <w:r>
        <w:rPr>
          <w:rFonts w:hint="eastAsia" w:ascii="微软雅黑" w:hAnsi="微软雅黑" w:eastAsia="微软雅黑" w:cs="微软雅黑"/>
          <w:b/>
          <w:bCs/>
          <w:i w:val="0"/>
          <w:iCs w:val="0"/>
          <w:caps w:val="0"/>
          <w:color w:val="000000"/>
          <w:spacing w:val="0"/>
          <w:sz w:val="16"/>
          <w:szCs w:val="16"/>
          <w:bdr w:val="none" w:color="auto" w:sz="0" w:space="0"/>
          <w:shd w:val="clear" w:fill="FFFFFF"/>
        </w:rPr>
        <w:t>一、学校基本情况</w:t>
      </w:r>
    </w:p>
    <w:p w14:paraId="1292AA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5"/>
      </w:pPr>
      <w:r>
        <w:rPr>
          <w:rFonts w:hint="eastAsia" w:ascii="微软雅黑" w:hAnsi="微软雅黑" w:eastAsia="微软雅黑" w:cs="微软雅黑"/>
          <w:i w:val="0"/>
          <w:iCs w:val="0"/>
          <w:caps w:val="0"/>
          <w:color w:val="000000"/>
          <w:spacing w:val="0"/>
          <w:sz w:val="16"/>
          <w:szCs w:val="16"/>
          <w:bdr w:val="none" w:color="auto" w:sz="0" w:space="0"/>
          <w:shd w:val="clear" w:fill="FFFFFF"/>
        </w:rPr>
        <w:t>1.学校全称：南昌应用技术师范学院。</w:t>
      </w:r>
    </w:p>
    <w:p w14:paraId="2D307D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5"/>
      </w:pPr>
      <w:r>
        <w:rPr>
          <w:rFonts w:hint="eastAsia" w:ascii="微软雅黑" w:hAnsi="微软雅黑" w:eastAsia="微软雅黑" w:cs="微软雅黑"/>
          <w:i w:val="0"/>
          <w:iCs w:val="0"/>
          <w:caps w:val="0"/>
          <w:color w:val="000000"/>
          <w:spacing w:val="0"/>
          <w:sz w:val="16"/>
          <w:szCs w:val="16"/>
          <w:bdr w:val="none" w:color="auto" w:sz="0" w:space="0"/>
          <w:shd w:val="clear" w:fill="FFFFFF"/>
        </w:rPr>
        <w:t>2.学校代码：13440（国标代码），</w:t>
      </w:r>
      <w:r>
        <w:rPr>
          <w:rFonts w:hint="eastAsia" w:ascii="微软雅黑" w:hAnsi="微软雅黑" w:eastAsia="微软雅黑" w:cs="微软雅黑"/>
          <w:b/>
          <w:bCs/>
          <w:i w:val="0"/>
          <w:iCs w:val="0"/>
          <w:caps w:val="0"/>
          <w:color w:val="000000"/>
          <w:spacing w:val="0"/>
          <w:sz w:val="16"/>
          <w:szCs w:val="16"/>
          <w:bdr w:val="none" w:color="auto" w:sz="0" w:space="0"/>
          <w:shd w:val="clear" w:fill="FFFFFF"/>
        </w:rPr>
        <w:t>8313（江西省代码）</w:t>
      </w:r>
      <w:r>
        <w:rPr>
          <w:rFonts w:hint="eastAsia" w:ascii="微软雅黑" w:hAnsi="微软雅黑" w:eastAsia="微软雅黑" w:cs="微软雅黑"/>
          <w:i w:val="0"/>
          <w:iCs w:val="0"/>
          <w:caps w:val="0"/>
          <w:color w:val="000000"/>
          <w:spacing w:val="0"/>
          <w:sz w:val="16"/>
          <w:szCs w:val="16"/>
          <w:bdr w:val="none" w:color="auto" w:sz="0" w:space="0"/>
          <w:shd w:val="clear" w:fill="FFFFFF"/>
        </w:rPr>
        <w:t>。</w:t>
      </w:r>
    </w:p>
    <w:p w14:paraId="032A99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5"/>
      </w:pPr>
      <w:r>
        <w:rPr>
          <w:rFonts w:hint="eastAsia" w:ascii="微软雅黑" w:hAnsi="微软雅黑" w:eastAsia="微软雅黑" w:cs="微软雅黑"/>
          <w:i w:val="0"/>
          <w:iCs w:val="0"/>
          <w:caps w:val="0"/>
          <w:color w:val="000000"/>
          <w:spacing w:val="0"/>
          <w:sz w:val="16"/>
          <w:szCs w:val="16"/>
          <w:bdr w:val="none" w:color="auto" w:sz="0" w:space="0"/>
          <w:shd w:val="clear" w:fill="FFFFFF"/>
        </w:rPr>
        <w:t>3.办学性质、层次和类型：民办、本科、全日制普通高等学校。</w:t>
      </w:r>
    </w:p>
    <w:p w14:paraId="32710A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3"/>
        <w:jc w:val="both"/>
      </w:pPr>
      <w:r>
        <w:rPr>
          <w:rFonts w:hint="eastAsia" w:ascii="微软雅黑" w:hAnsi="微软雅黑" w:eastAsia="微软雅黑" w:cs="微软雅黑"/>
          <w:b/>
          <w:bCs/>
          <w:i w:val="0"/>
          <w:iCs w:val="0"/>
          <w:caps w:val="0"/>
          <w:color w:val="000000"/>
          <w:spacing w:val="0"/>
          <w:sz w:val="16"/>
          <w:szCs w:val="16"/>
          <w:bdr w:val="none" w:color="auto" w:sz="0" w:space="0"/>
          <w:shd w:val="clear" w:fill="FFFFFF"/>
        </w:rPr>
        <w:t>二、招生对象及招生计划</w:t>
      </w:r>
    </w:p>
    <w:p w14:paraId="0B570C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1.已在江西省教育考试院2025年专升本报名系统报名且审核通过，取得退役大学生士兵免试资格的考生。</w:t>
      </w:r>
    </w:p>
    <w:p w14:paraId="6E38D5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2.面试招生专业及计划数。</w:t>
      </w:r>
    </w:p>
    <w:p w14:paraId="15D4CB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555"/>
        <w:jc w:val="center"/>
      </w:pPr>
      <w:r>
        <w:rPr>
          <w:rFonts w:hint="eastAsia" w:ascii="微软雅黑" w:hAnsi="微软雅黑" w:eastAsia="微软雅黑" w:cs="微软雅黑"/>
          <w:b/>
          <w:bCs/>
          <w:i w:val="0"/>
          <w:iCs w:val="0"/>
          <w:caps w:val="0"/>
          <w:color w:val="000000"/>
          <w:spacing w:val="0"/>
          <w:sz w:val="16"/>
          <w:szCs w:val="16"/>
          <w:bdr w:val="none" w:color="auto" w:sz="0" w:space="0"/>
          <w:shd w:val="clear" w:fill="FFFFFF"/>
        </w:rPr>
        <w:t>2025年退役大学生士兵免试专升本招生专业及计划数</w:t>
      </w:r>
    </w:p>
    <w:tbl>
      <w:tblPr>
        <w:tblW w:w="9270"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920"/>
        <w:gridCol w:w="2473"/>
        <w:gridCol w:w="1452"/>
        <w:gridCol w:w="1041"/>
        <w:gridCol w:w="1482"/>
        <w:gridCol w:w="1902"/>
      </w:tblGrid>
      <w:tr w14:paraId="0863B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535BCC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top"/>
            </w:pPr>
            <w:r>
              <w:rPr>
                <w:rFonts w:ascii="仿宋_GB2312" w:eastAsia="仿宋_GB2312" w:cs="仿宋_GB2312" w:hAnsiTheme="minorHAnsi"/>
                <w:b/>
                <w:bCs/>
                <w:kern w:val="0"/>
                <w:sz w:val="16"/>
                <w:szCs w:val="16"/>
                <w:bdr w:val="none" w:color="auto" w:sz="0" w:space="0"/>
                <w:lang w:val="en-US" w:eastAsia="zh-CN" w:bidi="ar"/>
              </w:rPr>
              <w:t>序号</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2BB5F1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top"/>
            </w:pPr>
            <w:r>
              <w:rPr>
                <w:rFonts w:hint="default" w:ascii="仿宋_GB2312" w:eastAsia="仿宋_GB2312" w:cs="仿宋_GB2312" w:hAnsiTheme="minorHAnsi"/>
                <w:b/>
                <w:bCs/>
                <w:kern w:val="0"/>
                <w:sz w:val="16"/>
                <w:szCs w:val="16"/>
                <w:bdr w:val="none" w:color="auto" w:sz="0" w:space="0"/>
                <w:lang w:val="en-US" w:eastAsia="zh-CN" w:bidi="ar"/>
              </w:rPr>
              <w:t>专业名称</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20FAD2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top"/>
            </w:pPr>
            <w:r>
              <w:rPr>
                <w:rFonts w:hint="default" w:ascii="仿宋_GB2312" w:eastAsia="仿宋_GB2312" w:cs="仿宋_GB2312" w:hAnsiTheme="minorHAnsi"/>
                <w:b/>
                <w:bCs/>
                <w:kern w:val="0"/>
                <w:sz w:val="16"/>
                <w:szCs w:val="16"/>
                <w:bdr w:val="none" w:color="auto" w:sz="0" w:space="0"/>
                <w:lang w:val="en-US" w:eastAsia="zh-CN" w:bidi="ar"/>
              </w:rPr>
              <w:t>专业代码</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073BDF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top"/>
            </w:pPr>
            <w:r>
              <w:rPr>
                <w:rFonts w:hint="default" w:ascii="仿宋_GB2312" w:eastAsia="仿宋_GB2312" w:cs="仿宋_GB2312" w:hAnsiTheme="minorHAnsi"/>
                <w:b/>
                <w:bCs/>
                <w:kern w:val="0"/>
                <w:sz w:val="16"/>
                <w:szCs w:val="16"/>
                <w:bdr w:val="none" w:color="auto" w:sz="0" w:space="0"/>
                <w:lang w:val="en-US" w:eastAsia="zh-CN" w:bidi="ar"/>
              </w:rPr>
              <w:t>学制</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5BF9B9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top"/>
            </w:pPr>
            <w:r>
              <w:rPr>
                <w:rFonts w:hint="default" w:ascii="仿宋_GB2312" w:eastAsia="仿宋_GB2312" w:cs="仿宋_GB2312" w:hAnsiTheme="minorHAnsi"/>
                <w:b/>
                <w:bCs/>
                <w:kern w:val="0"/>
                <w:sz w:val="16"/>
                <w:szCs w:val="16"/>
                <w:bdr w:val="none" w:color="auto" w:sz="0" w:space="0"/>
                <w:lang w:val="en-US" w:eastAsia="zh-CN" w:bidi="ar"/>
              </w:rPr>
              <w:t>招生计划</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619FC7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top"/>
            </w:pPr>
            <w:r>
              <w:rPr>
                <w:rFonts w:hint="default" w:ascii="仿宋_GB2312" w:eastAsia="仿宋_GB2312" w:cs="仿宋_GB2312" w:hAnsiTheme="minorHAnsi"/>
                <w:b/>
                <w:bCs/>
                <w:kern w:val="0"/>
                <w:sz w:val="16"/>
                <w:szCs w:val="16"/>
                <w:bdr w:val="none" w:color="auto" w:sz="0" w:space="0"/>
                <w:lang w:val="en-US" w:eastAsia="zh-CN" w:bidi="ar"/>
              </w:rPr>
              <w:t>学费（元/年）</w:t>
            </w:r>
          </w:p>
        </w:tc>
      </w:tr>
      <w:tr w14:paraId="7D94F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08E442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1</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7B0F93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法学</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164F56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030101</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3817FF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3F6635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10</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3D2856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16970</w:t>
            </w:r>
          </w:p>
        </w:tc>
      </w:tr>
      <w:tr w14:paraId="03789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3BDB3A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2</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18DBBB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思想政治教育</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047FD3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030503</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542A66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1C5A85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10</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5D1DAB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16970</w:t>
            </w:r>
          </w:p>
        </w:tc>
      </w:tr>
      <w:tr w14:paraId="41275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6C0BD4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3</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1713FA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小学教育</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3321F8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040107</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4ACB56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4D5E11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18</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658680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16970</w:t>
            </w:r>
          </w:p>
        </w:tc>
      </w:tr>
      <w:tr w14:paraId="777E9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2CCC9C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4</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3F50C4B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体育教育</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00A377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040201</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2496A3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4432AE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7</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34B64D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21470</w:t>
            </w:r>
          </w:p>
        </w:tc>
      </w:tr>
      <w:tr w14:paraId="2C482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799BCA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5</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2FA11D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汉语言文学</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7CED04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050101</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38D609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21151A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21</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5B8B34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16970</w:t>
            </w:r>
          </w:p>
        </w:tc>
      </w:tr>
      <w:tr w14:paraId="39D48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09BB6B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6</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438F7D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英语</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442ECE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050201</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0505E1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7B6E42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16</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69FDE9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16970</w:t>
            </w:r>
          </w:p>
        </w:tc>
      </w:tr>
      <w:tr w14:paraId="75282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6B321B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7</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6F6DBE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数学与应用数学</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0230BB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070101</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7FA8A7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0B7937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10</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59C0E5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16970</w:t>
            </w:r>
          </w:p>
        </w:tc>
      </w:tr>
      <w:tr w14:paraId="598D2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52B4D8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8</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467D2D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电子信息工程</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01125E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080701</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2D86D6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40F263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20</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4736D8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16970</w:t>
            </w:r>
          </w:p>
        </w:tc>
      </w:tr>
      <w:tr w14:paraId="341D2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1B4B26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9</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035108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计算机科学与技术</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3D009A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080901</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3E07B8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2A83B8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20</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7101E5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16970</w:t>
            </w:r>
          </w:p>
        </w:tc>
      </w:tr>
      <w:tr w14:paraId="15CA1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61464D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10</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47959B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软件工程</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1B2529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080902</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2F8D61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0AA8D9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30</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426774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16970</w:t>
            </w:r>
          </w:p>
        </w:tc>
      </w:tr>
      <w:tr w14:paraId="33977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131B0BA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11</w:t>
            </w:r>
          </w:p>
        </w:tc>
        <w:tc>
          <w:tcPr>
            <w:tcW w:w="24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4FA7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土木工程</w:t>
            </w:r>
          </w:p>
        </w:tc>
        <w:tc>
          <w:tcPr>
            <w:tcW w:w="14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186E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081001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588F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6318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10</w:t>
            </w:r>
          </w:p>
        </w:tc>
        <w:tc>
          <w:tcPr>
            <w:tcW w:w="19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04F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16970</w:t>
            </w:r>
          </w:p>
        </w:tc>
      </w:tr>
      <w:tr w14:paraId="72980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07252D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12</w:t>
            </w:r>
          </w:p>
        </w:tc>
        <w:tc>
          <w:tcPr>
            <w:tcW w:w="24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7CE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数字媒体技术</w:t>
            </w:r>
          </w:p>
        </w:tc>
        <w:tc>
          <w:tcPr>
            <w:tcW w:w="14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E05F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080906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5B61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644F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5</w:t>
            </w:r>
          </w:p>
        </w:tc>
        <w:tc>
          <w:tcPr>
            <w:tcW w:w="19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A8E2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16970</w:t>
            </w:r>
          </w:p>
        </w:tc>
      </w:tr>
      <w:tr w14:paraId="1D7B1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385051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13</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43BBA1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财务管理</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624A49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120204</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1C91D2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7DADFE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15</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286832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16970</w:t>
            </w:r>
          </w:p>
        </w:tc>
      </w:tr>
      <w:tr w14:paraId="7F2FC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352AF4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14</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75754A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旅游管理</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5B5301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120901</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7E28EC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3F1E22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9</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5359F3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16970</w:t>
            </w:r>
          </w:p>
        </w:tc>
      </w:tr>
      <w:tr w14:paraId="7032E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27BB91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15</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1AC09C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视觉传达设计</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749DEA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130502</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1AAC78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116EAD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9</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522A36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21470</w:t>
            </w:r>
          </w:p>
        </w:tc>
      </w:tr>
      <w:tr w14:paraId="63AEB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920" w:type="dxa"/>
            <w:tcBorders>
              <w:top w:val="single" w:color="000000" w:sz="8" w:space="0"/>
              <w:left w:val="single" w:color="000000" w:sz="8" w:space="0"/>
              <w:bottom w:val="single" w:color="000000" w:sz="8" w:space="0"/>
              <w:right w:val="single" w:color="000000" w:sz="8" w:space="0"/>
            </w:tcBorders>
            <w:shd w:val="clear"/>
            <w:vAlign w:val="center"/>
          </w:tcPr>
          <w:p w14:paraId="6F2BC8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16</w:t>
            </w:r>
          </w:p>
        </w:tc>
        <w:tc>
          <w:tcPr>
            <w:tcW w:w="2470" w:type="dxa"/>
            <w:tcBorders>
              <w:top w:val="single" w:color="000000" w:sz="8" w:space="0"/>
              <w:left w:val="single" w:color="000000" w:sz="8" w:space="0"/>
              <w:bottom w:val="single" w:color="000000" w:sz="8" w:space="0"/>
              <w:right w:val="single" w:color="000000" w:sz="8" w:space="0"/>
            </w:tcBorders>
            <w:shd w:val="clear"/>
            <w:vAlign w:val="center"/>
          </w:tcPr>
          <w:p w14:paraId="0D3448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环境设计</w:t>
            </w:r>
          </w:p>
        </w:tc>
        <w:tc>
          <w:tcPr>
            <w:tcW w:w="1450" w:type="dxa"/>
            <w:tcBorders>
              <w:top w:val="single" w:color="000000" w:sz="8" w:space="0"/>
              <w:left w:val="single" w:color="000000" w:sz="8" w:space="0"/>
              <w:bottom w:val="single" w:color="000000" w:sz="8" w:space="0"/>
              <w:right w:val="single" w:color="000000" w:sz="8" w:space="0"/>
            </w:tcBorders>
            <w:shd w:val="clear"/>
            <w:vAlign w:val="center"/>
          </w:tcPr>
          <w:p w14:paraId="639F6F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130503</w:t>
            </w:r>
          </w:p>
        </w:tc>
        <w:tc>
          <w:tcPr>
            <w:tcW w:w="1030" w:type="dxa"/>
            <w:tcBorders>
              <w:top w:val="single" w:color="000000" w:sz="8" w:space="0"/>
              <w:left w:val="single" w:color="000000" w:sz="8" w:space="0"/>
              <w:bottom w:val="single" w:color="000000" w:sz="8" w:space="0"/>
              <w:right w:val="single" w:color="000000" w:sz="8" w:space="0"/>
            </w:tcBorders>
            <w:shd w:val="clear"/>
            <w:vAlign w:val="center"/>
          </w:tcPr>
          <w:p w14:paraId="76C1BA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hint="default" w:ascii="仿宋_GB2312" w:eastAsia="仿宋_GB2312" w:cs="仿宋_GB2312" w:hAnsiTheme="minorHAnsi"/>
                <w:kern w:val="0"/>
                <w:sz w:val="16"/>
                <w:szCs w:val="16"/>
                <w:bdr w:val="none" w:color="auto" w:sz="0" w:space="0"/>
                <w:lang w:val="en-US" w:eastAsia="zh-CN" w:bidi="ar"/>
              </w:rPr>
              <w:t>两年</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33E5C6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6</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238038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21470</w:t>
            </w:r>
          </w:p>
        </w:tc>
      </w:tr>
      <w:tr w14:paraId="3C0D0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5880" w:type="dxa"/>
            <w:gridSpan w:val="4"/>
            <w:tcBorders>
              <w:top w:val="single" w:color="000000" w:sz="8" w:space="0"/>
              <w:left w:val="single" w:color="000000" w:sz="8" w:space="0"/>
              <w:bottom w:val="single" w:color="000000" w:sz="8" w:space="0"/>
              <w:right w:val="single" w:color="000000" w:sz="8" w:space="0"/>
            </w:tcBorders>
            <w:shd w:val="clear"/>
            <w:vAlign w:val="center"/>
          </w:tcPr>
          <w:p w14:paraId="617353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b/>
                <w:bCs/>
                <w:kern w:val="0"/>
                <w:sz w:val="16"/>
                <w:szCs w:val="16"/>
                <w:bdr w:val="none" w:color="auto" w:sz="0" w:space="0"/>
                <w:lang w:val="en-US" w:eastAsia="zh-CN" w:bidi="ar"/>
              </w:rPr>
              <w:t>合计</w:t>
            </w:r>
          </w:p>
        </w:tc>
        <w:tc>
          <w:tcPr>
            <w:tcW w:w="1480" w:type="dxa"/>
            <w:tcBorders>
              <w:top w:val="single" w:color="000000" w:sz="8" w:space="0"/>
              <w:left w:val="single" w:color="000000" w:sz="8" w:space="0"/>
              <w:bottom w:val="single" w:color="000000" w:sz="8" w:space="0"/>
              <w:right w:val="single" w:color="000000" w:sz="8" w:space="0"/>
            </w:tcBorders>
            <w:shd w:val="clear"/>
            <w:vAlign w:val="center"/>
          </w:tcPr>
          <w:p w14:paraId="6E0136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216</w:t>
            </w:r>
          </w:p>
        </w:tc>
        <w:tc>
          <w:tcPr>
            <w:tcW w:w="1900" w:type="dxa"/>
            <w:tcBorders>
              <w:top w:val="single" w:color="000000" w:sz="8" w:space="0"/>
              <w:left w:val="single" w:color="000000" w:sz="8" w:space="0"/>
              <w:bottom w:val="single" w:color="000000" w:sz="8" w:space="0"/>
              <w:right w:val="single" w:color="000000" w:sz="8" w:space="0"/>
            </w:tcBorders>
            <w:shd w:val="clear"/>
            <w:vAlign w:val="center"/>
          </w:tcPr>
          <w:p w14:paraId="25F2B2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textAlignment w:val="center"/>
            </w:pPr>
            <w:r>
              <w:rPr>
                <w:rFonts w:asciiTheme="minorHAnsi" w:hAnsiTheme="minorHAnsi" w:eastAsiaTheme="minorEastAsia" w:cstheme="minorBidi"/>
                <w:kern w:val="0"/>
                <w:sz w:val="16"/>
                <w:szCs w:val="16"/>
                <w:bdr w:val="none" w:color="auto" w:sz="0" w:space="0"/>
                <w:lang w:val="en-US" w:eastAsia="zh-CN" w:bidi="ar"/>
              </w:rPr>
              <w:t>-</w:t>
            </w:r>
          </w:p>
        </w:tc>
      </w:tr>
    </w:tbl>
    <w:p w14:paraId="6234EC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3"/>
        <w:jc w:val="both"/>
      </w:pPr>
      <w:r>
        <w:rPr>
          <w:rFonts w:hint="eastAsia" w:ascii="微软雅黑" w:hAnsi="微软雅黑" w:eastAsia="微软雅黑" w:cs="微软雅黑"/>
          <w:b/>
          <w:bCs/>
          <w:i w:val="0"/>
          <w:iCs w:val="0"/>
          <w:caps w:val="0"/>
          <w:color w:val="000000"/>
          <w:spacing w:val="0"/>
          <w:sz w:val="16"/>
          <w:szCs w:val="16"/>
          <w:bdr w:val="none" w:color="auto" w:sz="0" w:space="0"/>
          <w:shd w:val="clear" w:fill="FFFFFF"/>
        </w:rPr>
        <w:t>三、免试申请、综合测试和录取办法</w:t>
      </w:r>
    </w:p>
    <w:p w14:paraId="2FAA88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22"/>
      </w:pPr>
      <w:r>
        <w:rPr>
          <w:rFonts w:hint="eastAsia" w:ascii="微软雅黑" w:hAnsi="微软雅黑" w:eastAsia="微软雅黑" w:cs="微软雅黑"/>
          <w:b/>
          <w:bCs/>
          <w:i w:val="0"/>
          <w:iCs w:val="0"/>
          <w:caps w:val="0"/>
          <w:color w:val="000000"/>
          <w:spacing w:val="0"/>
          <w:sz w:val="16"/>
          <w:szCs w:val="16"/>
          <w:bdr w:val="none" w:color="auto" w:sz="0" w:space="0"/>
          <w:shd w:val="clear" w:fill="FFFFFF"/>
        </w:rPr>
        <w:t>（一）申请时间及方式</w:t>
      </w:r>
    </w:p>
    <w:p w14:paraId="67F0CD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1.申请时间：自本简章发布之时开始，至2025年3月5日17：00截至。</w:t>
      </w:r>
    </w:p>
    <w:p w14:paraId="6E0638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2.申请方式：填写《南昌应用技术师范学院退役大学生士兵专升本免试申请表》（附件1），于2025年3月5日17:00前将相关材料电子版打包为一个压缩文件后，命名为“</w:t>
      </w:r>
      <w:r>
        <w:rPr>
          <w:rFonts w:hint="eastAsia" w:ascii="微软雅黑" w:hAnsi="微软雅黑" w:eastAsia="微软雅黑" w:cs="微软雅黑"/>
          <w:b/>
          <w:bCs/>
          <w:i w:val="0"/>
          <w:iCs w:val="0"/>
          <w:caps w:val="0"/>
          <w:color w:val="000000"/>
          <w:spacing w:val="0"/>
          <w:sz w:val="16"/>
          <w:szCs w:val="16"/>
          <w:bdr w:val="none" w:color="auto" w:sz="0" w:space="0"/>
          <w:shd w:val="clear" w:fill="FFFFFF"/>
        </w:rPr>
        <w:t>报考专业+姓名+手机号码</w:t>
      </w:r>
      <w:r>
        <w:rPr>
          <w:rFonts w:hint="eastAsia" w:ascii="微软雅黑" w:hAnsi="微软雅黑" w:eastAsia="微软雅黑" w:cs="微软雅黑"/>
          <w:i w:val="0"/>
          <w:iCs w:val="0"/>
          <w:caps w:val="0"/>
          <w:color w:val="000000"/>
          <w:spacing w:val="0"/>
          <w:sz w:val="16"/>
          <w:szCs w:val="16"/>
          <w:bdr w:val="none" w:color="auto" w:sz="0" w:space="0"/>
          <w:shd w:val="clear" w:fill="FFFFFF"/>
        </w:rPr>
        <w:t>”，以附件形式发送至指定邮箱：</w:t>
      </w:r>
      <w:r>
        <w:rPr>
          <w:rFonts w:hint="eastAsia" w:ascii="微软雅黑" w:hAnsi="微软雅黑" w:eastAsia="微软雅黑" w:cs="微软雅黑"/>
          <w:b/>
          <w:bCs/>
          <w:i w:val="0"/>
          <w:iCs w:val="0"/>
          <w:caps w:val="0"/>
          <w:color w:val="000000"/>
          <w:spacing w:val="0"/>
          <w:sz w:val="16"/>
          <w:szCs w:val="16"/>
          <w:bdr w:val="none" w:color="auto" w:sz="0" w:space="0"/>
          <w:shd w:val="clear" w:fill="FFFFFF"/>
        </w:rPr>
        <w:t>1965947584@qq.com</w:t>
      </w:r>
      <w:r>
        <w:rPr>
          <w:rFonts w:hint="eastAsia" w:ascii="微软雅黑" w:hAnsi="微软雅黑" w:eastAsia="微软雅黑" w:cs="微软雅黑"/>
          <w:i w:val="0"/>
          <w:iCs w:val="0"/>
          <w:caps w:val="0"/>
          <w:color w:val="000000"/>
          <w:spacing w:val="0"/>
          <w:sz w:val="16"/>
          <w:szCs w:val="16"/>
          <w:bdr w:val="none" w:color="auto" w:sz="0" w:space="0"/>
          <w:shd w:val="clear" w:fill="FFFFFF"/>
        </w:rPr>
        <w:t>，邮件标题格式为：</w:t>
      </w:r>
      <w:r>
        <w:rPr>
          <w:rFonts w:hint="eastAsia" w:ascii="微软雅黑" w:hAnsi="微软雅黑" w:eastAsia="微软雅黑" w:cs="微软雅黑"/>
          <w:b/>
          <w:bCs/>
          <w:i w:val="0"/>
          <w:iCs w:val="0"/>
          <w:caps w:val="0"/>
          <w:color w:val="000000"/>
          <w:spacing w:val="0"/>
          <w:sz w:val="16"/>
          <w:szCs w:val="16"/>
          <w:bdr w:val="none" w:color="auto" w:sz="0" w:space="0"/>
          <w:shd w:val="clear" w:fill="FFFFFF"/>
        </w:rPr>
        <w:t>报考专业+姓名+手机号码+退役士兵免试申请</w:t>
      </w:r>
      <w:r>
        <w:rPr>
          <w:rFonts w:hint="eastAsia" w:ascii="微软雅黑" w:hAnsi="微软雅黑" w:eastAsia="微软雅黑" w:cs="微软雅黑"/>
          <w:i w:val="0"/>
          <w:iCs w:val="0"/>
          <w:caps w:val="0"/>
          <w:color w:val="000000"/>
          <w:spacing w:val="0"/>
          <w:sz w:val="16"/>
          <w:szCs w:val="16"/>
          <w:bdr w:val="none" w:color="auto" w:sz="0" w:space="0"/>
          <w:shd w:val="clear" w:fill="FFFFFF"/>
        </w:rPr>
        <w:t>。未在规定时间内按要求提交材料视为报名无效。</w:t>
      </w:r>
    </w:p>
    <w:p w14:paraId="2E85C1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22"/>
      </w:pPr>
      <w:r>
        <w:rPr>
          <w:rFonts w:hint="eastAsia" w:ascii="微软雅黑" w:hAnsi="微软雅黑" w:eastAsia="微软雅黑" w:cs="微软雅黑"/>
          <w:b/>
          <w:bCs/>
          <w:i w:val="0"/>
          <w:iCs w:val="0"/>
          <w:caps w:val="0"/>
          <w:color w:val="000000"/>
          <w:spacing w:val="0"/>
          <w:sz w:val="16"/>
          <w:szCs w:val="16"/>
          <w:bdr w:val="none" w:color="auto" w:sz="0" w:space="0"/>
          <w:shd w:val="clear" w:fill="FFFFFF"/>
        </w:rPr>
        <w:t>（二）须提交、携带的材料</w:t>
      </w:r>
    </w:p>
    <w:p w14:paraId="698A93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1.本人身份证原件、复印件各1份；</w:t>
      </w:r>
    </w:p>
    <w:p w14:paraId="4CF527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2.本人退伍（役）证原件、复印件各1份；</w:t>
      </w:r>
    </w:p>
    <w:p w14:paraId="379BB7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3.本人在校期间成绩单、毕业证（应届毕业生提供学籍证明）及其他证明材料原件及复印件1份；</w:t>
      </w:r>
    </w:p>
    <w:p w14:paraId="7D2FF7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4.本人服役期间表现证明材料原件及复印件1份；</w:t>
      </w:r>
    </w:p>
    <w:p w14:paraId="095640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5.本人报名提交的其他证明材料复印件。</w:t>
      </w:r>
    </w:p>
    <w:p w14:paraId="0277CF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6.本人《南昌应用技术师范学院退役大学生士兵专升本考试免试申请表》（附件1）1份。</w:t>
      </w:r>
    </w:p>
    <w:p w14:paraId="7B0307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7.考生在提交报名材料后，可加入2025应师院专升本咨询QQ群（群号：333721409）咨询相关事项，进群申请时请备注“考生姓名+报考专业”。</w:t>
      </w:r>
    </w:p>
    <w:p w14:paraId="6AF92C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b/>
          <w:bCs/>
          <w:i w:val="0"/>
          <w:iCs w:val="0"/>
          <w:caps w:val="0"/>
          <w:color w:val="000000"/>
          <w:spacing w:val="0"/>
          <w:sz w:val="16"/>
          <w:szCs w:val="16"/>
          <w:bdr w:val="none" w:color="auto" w:sz="0" w:space="0"/>
          <w:shd w:val="clear" w:fill="FFFFFF"/>
        </w:rPr>
        <w:t>（三）校内考查</w:t>
      </w:r>
    </w:p>
    <w:p w14:paraId="239ACA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555"/>
      </w:pPr>
      <w:r>
        <w:rPr>
          <w:rFonts w:hint="eastAsia" w:ascii="微软雅黑" w:hAnsi="微软雅黑" w:eastAsia="微软雅黑" w:cs="微软雅黑"/>
          <w:i w:val="0"/>
          <w:iCs w:val="0"/>
          <w:caps w:val="0"/>
          <w:color w:val="000000"/>
          <w:spacing w:val="0"/>
          <w:sz w:val="16"/>
          <w:szCs w:val="16"/>
          <w:bdr w:val="none" w:color="auto" w:sz="0" w:space="0"/>
          <w:shd w:val="clear" w:fill="FFFFFF"/>
        </w:rPr>
        <w:t>1.校内考查时间：2025年3月7-8日16:00。</w:t>
      </w:r>
    </w:p>
    <w:p w14:paraId="62C72E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555"/>
      </w:pPr>
      <w:r>
        <w:rPr>
          <w:rFonts w:hint="eastAsia" w:ascii="微软雅黑" w:hAnsi="微软雅黑" w:eastAsia="微软雅黑" w:cs="微软雅黑"/>
          <w:i w:val="0"/>
          <w:iCs w:val="0"/>
          <w:caps w:val="0"/>
          <w:color w:val="000000"/>
          <w:spacing w:val="0"/>
          <w:sz w:val="16"/>
          <w:szCs w:val="16"/>
          <w:bdr w:val="none" w:color="auto" w:sz="0" w:space="0"/>
          <w:shd w:val="clear" w:fill="FFFFFF"/>
        </w:rPr>
        <w:t>2.校内考查地点：南昌应用技术师范学院赣新校区致真楼339室。</w:t>
      </w:r>
    </w:p>
    <w:p w14:paraId="49EC6E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555"/>
      </w:pPr>
      <w:r>
        <w:rPr>
          <w:rFonts w:hint="eastAsia" w:ascii="微软雅黑" w:hAnsi="微软雅黑" w:eastAsia="微软雅黑" w:cs="微软雅黑"/>
          <w:i w:val="0"/>
          <w:iCs w:val="0"/>
          <w:caps w:val="0"/>
          <w:color w:val="000000"/>
          <w:spacing w:val="0"/>
          <w:sz w:val="16"/>
          <w:szCs w:val="16"/>
          <w:bdr w:val="none" w:color="auto" w:sz="0" w:space="0"/>
          <w:shd w:val="clear" w:fill="FFFFFF"/>
        </w:rPr>
        <w:t>3.校内考查方式：面试，通过开放性问答考查考生的职业适应性、语言表达能力和心理素质等。</w:t>
      </w:r>
    </w:p>
    <w:p w14:paraId="23BD4F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b/>
          <w:bCs/>
          <w:i w:val="0"/>
          <w:iCs w:val="0"/>
          <w:caps w:val="0"/>
          <w:color w:val="000000"/>
          <w:spacing w:val="0"/>
          <w:sz w:val="16"/>
          <w:szCs w:val="16"/>
          <w:bdr w:val="none" w:color="auto" w:sz="0" w:space="0"/>
          <w:shd w:val="clear" w:fill="FFFFFF"/>
        </w:rPr>
        <w:t>（四）评分标准</w:t>
      </w:r>
    </w:p>
    <w:p w14:paraId="1065EA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260" w:lineRule="atLeast"/>
        <w:ind w:left="0" w:right="0" w:firstLine="640"/>
        <w:jc w:val="center"/>
        <w:rPr>
          <w:sz w:val="28"/>
          <w:szCs w:val="28"/>
        </w:rPr>
      </w:pPr>
      <w:r>
        <w:rPr>
          <w:i w:val="0"/>
          <w:iCs w:val="0"/>
          <w:caps w:val="0"/>
          <w:color w:val="000000"/>
          <w:spacing w:val="0"/>
          <w:sz w:val="16"/>
          <w:szCs w:val="16"/>
          <w:bdr w:val="none" w:color="auto" w:sz="0" w:space="0"/>
          <w:shd w:val="clear" w:fill="FFFFFF"/>
        </w:rPr>
        <w:t>满分100分，具体评价标准如下：</w:t>
      </w:r>
    </w:p>
    <w:tbl>
      <w:tblPr>
        <w:tblW w:w="9100" w:type="dxa"/>
        <w:jc w:val="center"/>
        <w:tblCellSpacing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965"/>
        <w:gridCol w:w="1094"/>
        <w:gridCol w:w="6041"/>
      </w:tblGrid>
      <w:tr w14:paraId="2514664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1079" w:type="pct"/>
            <w:tcBorders>
              <w:top w:val="single" w:color="000000" w:sz="8" w:space="0"/>
              <w:left w:val="single" w:color="000000" w:sz="8" w:space="0"/>
              <w:bottom w:val="single" w:color="000000" w:sz="8" w:space="0"/>
              <w:right w:val="single" w:color="000000" w:sz="8" w:space="0"/>
            </w:tcBorders>
            <w:shd w:val="clear"/>
            <w:vAlign w:val="center"/>
          </w:tcPr>
          <w:p w14:paraId="563A66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pPr>
            <w:r>
              <w:rPr>
                <w:rFonts w:hint="default" w:ascii="仿宋_GB2312" w:eastAsia="仿宋_GB2312" w:cs="仿宋_GB2312"/>
                <w:b/>
                <w:bCs/>
                <w:sz w:val="16"/>
                <w:szCs w:val="16"/>
                <w:bdr w:val="none" w:color="auto" w:sz="0" w:space="0"/>
                <w:shd w:val="clear" w:fill="FFFFFF"/>
              </w:rPr>
              <w:t>考察内容</w:t>
            </w:r>
          </w:p>
        </w:tc>
        <w:tc>
          <w:tcPr>
            <w:tcW w:w="601" w:type="pct"/>
            <w:tcBorders>
              <w:top w:val="single" w:color="000000" w:sz="8" w:space="0"/>
              <w:left w:val="single" w:color="000000" w:sz="8" w:space="0"/>
              <w:bottom w:val="single" w:color="000000" w:sz="8" w:space="0"/>
              <w:right w:val="single" w:color="000000" w:sz="8" w:space="0"/>
            </w:tcBorders>
            <w:shd w:val="clear"/>
            <w:vAlign w:val="center"/>
          </w:tcPr>
          <w:p w14:paraId="0EE917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pPr>
            <w:r>
              <w:rPr>
                <w:rFonts w:hint="default" w:ascii="仿宋_GB2312" w:eastAsia="仿宋_GB2312" w:cs="仿宋_GB2312"/>
                <w:b/>
                <w:bCs/>
                <w:sz w:val="16"/>
                <w:szCs w:val="16"/>
                <w:bdr w:val="none" w:color="auto" w:sz="0" w:space="0"/>
                <w:shd w:val="clear" w:fill="FFFFFF"/>
              </w:rPr>
              <w:t>分值</w:t>
            </w:r>
          </w:p>
        </w:tc>
        <w:tc>
          <w:tcPr>
            <w:tcW w:w="3318" w:type="pct"/>
            <w:tcBorders>
              <w:top w:val="single" w:color="000000" w:sz="8" w:space="0"/>
              <w:left w:val="single" w:color="000000" w:sz="8" w:space="0"/>
              <w:bottom w:val="single" w:color="000000" w:sz="8" w:space="0"/>
              <w:right w:val="single" w:color="000000" w:sz="8" w:space="0"/>
            </w:tcBorders>
            <w:shd w:val="clear"/>
            <w:vAlign w:val="center"/>
          </w:tcPr>
          <w:p w14:paraId="1A2B2B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640"/>
              <w:jc w:val="center"/>
            </w:pPr>
            <w:r>
              <w:rPr>
                <w:rFonts w:hint="default" w:ascii="仿宋_GB2312" w:eastAsia="仿宋_GB2312" w:cs="仿宋_GB2312"/>
                <w:b/>
                <w:bCs/>
                <w:sz w:val="16"/>
                <w:szCs w:val="16"/>
                <w:bdr w:val="none" w:color="auto" w:sz="0" w:space="0"/>
                <w:shd w:val="clear" w:fill="FFFFFF"/>
              </w:rPr>
              <w:t>评分标准</w:t>
            </w:r>
          </w:p>
        </w:tc>
      </w:tr>
      <w:tr w14:paraId="22B35EE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079" w:type="pct"/>
            <w:tcBorders>
              <w:top w:val="single" w:color="000000" w:sz="8" w:space="0"/>
              <w:left w:val="single" w:color="000000" w:sz="8" w:space="0"/>
              <w:bottom w:val="single" w:color="000000" w:sz="8" w:space="0"/>
              <w:right w:val="single" w:color="000000" w:sz="8" w:space="0"/>
            </w:tcBorders>
            <w:shd w:val="clear"/>
            <w:vAlign w:val="center"/>
          </w:tcPr>
          <w:p w14:paraId="0E4AF7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pPr>
            <w:r>
              <w:rPr>
                <w:rFonts w:hint="default" w:ascii="仿宋_GB2312" w:eastAsia="仿宋_GB2312" w:cs="仿宋_GB2312"/>
                <w:sz w:val="16"/>
                <w:szCs w:val="16"/>
                <w:bdr w:val="none" w:color="auto" w:sz="0" w:space="0"/>
                <w:shd w:val="clear" w:fill="FFFFFF"/>
              </w:rPr>
              <w:t>职业适应性</w:t>
            </w:r>
          </w:p>
        </w:tc>
        <w:tc>
          <w:tcPr>
            <w:tcW w:w="601" w:type="pct"/>
            <w:tcBorders>
              <w:top w:val="single" w:color="000000" w:sz="8" w:space="0"/>
              <w:left w:val="single" w:color="000000" w:sz="8" w:space="0"/>
              <w:bottom w:val="single" w:color="000000" w:sz="8" w:space="0"/>
              <w:right w:val="single" w:color="000000" w:sz="8" w:space="0"/>
            </w:tcBorders>
            <w:shd w:val="clear"/>
            <w:vAlign w:val="center"/>
          </w:tcPr>
          <w:p w14:paraId="17E6E0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pPr>
            <w:r>
              <w:rPr>
                <w:rFonts w:hint="default" w:ascii="仿宋_GB2312" w:eastAsia="仿宋_GB2312" w:cs="仿宋_GB2312"/>
                <w:sz w:val="16"/>
                <w:szCs w:val="16"/>
                <w:bdr w:val="none" w:color="auto" w:sz="0" w:space="0"/>
                <w:shd w:val="clear" w:fill="FFFFFF"/>
              </w:rPr>
              <w:t>70</w:t>
            </w:r>
          </w:p>
        </w:tc>
        <w:tc>
          <w:tcPr>
            <w:tcW w:w="3318" w:type="pct"/>
            <w:tcBorders>
              <w:top w:val="single" w:color="000000" w:sz="8" w:space="0"/>
              <w:left w:val="single" w:color="000000" w:sz="8" w:space="0"/>
              <w:bottom w:val="single" w:color="000000" w:sz="8" w:space="0"/>
              <w:right w:val="single" w:color="000000" w:sz="8" w:space="0"/>
            </w:tcBorders>
            <w:shd w:val="clear"/>
            <w:vAlign w:val="center"/>
          </w:tcPr>
          <w:p w14:paraId="3CD08D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pPr>
            <w:r>
              <w:rPr>
                <w:rFonts w:hint="default" w:ascii="仿宋_GB2312" w:eastAsia="仿宋_GB2312" w:cs="仿宋_GB2312"/>
                <w:sz w:val="16"/>
                <w:szCs w:val="16"/>
                <w:bdr w:val="none" w:color="auto" w:sz="0" w:space="0"/>
                <w:shd w:val="clear" w:fill="FFFFFF"/>
              </w:rPr>
              <w:t>服役期间表现良好，在校期间成绩合格，表现良好，具备一定的专业基础知识与技能。</w:t>
            </w:r>
          </w:p>
        </w:tc>
      </w:tr>
      <w:tr w14:paraId="3D0219C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079" w:type="pct"/>
            <w:tcBorders>
              <w:top w:val="single" w:color="000000" w:sz="8" w:space="0"/>
              <w:left w:val="single" w:color="000000" w:sz="8" w:space="0"/>
              <w:bottom w:val="single" w:color="000000" w:sz="8" w:space="0"/>
              <w:right w:val="single" w:color="000000" w:sz="8" w:space="0"/>
            </w:tcBorders>
            <w:shd w:val="clear"/>
            <w:vAlign w:val="center"/>
          </w:tcPr>
          <w:p w14:paraId="3CF249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pPr>
            <w:r>
              <w:rPr>
                <w:rFonts w:hint="default" w:ascii="仿宋_GB2312" w:eastAsia="仿宋_GB2312" w:cs="仿宋_GB2312"/>
                <w:sz w:val="16"/>
                <w:szCs w:val="16"/>
                <w:bdr w:val="none" w:color="auto" w:sz="0" w:space="0"/>
                <w:shd w:val="clear" w:fill="FFFFFF"/>
              </w:rPr>
              <w:t>语言表达</w:t>
            </w:r>
          </w:p>
        </w:tc>
        <w:tc>
          <w:tcPr>
            <w:tcW w:w="601" w:type="pct"/>
            <w:tcBorders>
              <w:top w:val="single" w:color="000000" w:sz="8" w:space="0"/>
              <w:left w:val="single" w:color="000000" w:sz="8" w:space="0"/>
              <w:bottom w:val="single" w:color="000000" w:sz="8" w:space="0"/>
              <w:right w:val="single" w:color="000000" w:sz="8" w:space="0"/>
            </w:tcBorders>
            <w:shd w:val="clear"/>
            <w:vAlign w:val="center"/>
          </w:tcPr>
          <w:p w14:paraId="589931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pPr>
            <w:r>
              <w:rPr>
                <w:rFonts w:hint="default" w:ascii="仿宋_GB2312" w:eastAsia="仿宋_GB2312" w:cs="仿宋_GB2312"/>
                <w:sz w:val="16"/>
                <w:szCs w:val="16"/>
                <w:bdr w:val="none" w:color="auto" w:sz="0" w:space="0"/>
                <w:shd w:val="clear" w:fill="FFFFFF"/>
              </w:rPr>
              <w:t>15</w:t>
            </w:r>
          </w:p>
        </w:tc>
        <w:tc>
          <w:tcPr>
            <w:tcW w:w="3318" w:type="pct"/>
            <w:tcBorders>
              <w:top w:val="single" w:color="000000" w:sz="8" w:space="0"/>
              <w:left w:val="single" w:color="000000" w:sz="8" w:space="0"/>
              <w:bottom w:val="single" w:color="000000" w:sz="8" w:space="0"/>
              <w:right w:val="single" w:color="000000" w:sz="8" w:space="0"/>
            </w:tcBorders>
            <w:shd w:val="clear"/>
            <w:vAlign w:val="top"/>
          </w:tcPr>
          <w:p w14:paraId="72CDBC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pPr>
            <w:r>
              <w:rPr>
                <w:rFonts w:hint="default" w:ascii="仿宋_GB2312" w:eastAsia="仿宋_GB2312" w:cs="仿宋_GB2312"/>
                <w:sz w:val="16"/>
                <w:szCs w:val="16"/>
                <w:bdr w:val="none" w:color="auto" w:sz="0" w:space="0"/>
                <w:shd w:val="clear" w:fill="FFFFFF"/>
              </w:rPr>
              <w:t>口齿清晰，思维灵活，条理清晰，能够较准确地表达自己的观点，观点或理念无常识性错误，有较好的逻辑性。</w:t>
            </w:r>
          </w:p>
        </w:tc>
      </w:tr>
      <w:tr w14:paraId="090347A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079" w:type="pct"/>
            <w:tcBorders>
              <w:top w:val="single" w:color="000000" w:sz="8" w:space="0"/>
              <w:left w:val="single" w:color="000000" w:sz="8" w:space="0"/>
              <w:bottom w:val="single" w:color="000000" w:sz="8" w:space="0"/>
              <w:right w:val="single" w:color="000000" w:sz="8" w:space="0"/>
            </w:tcBorders>
            <w:shd w:val="clear"/>
            <w:vAlign w:val="center"/>
          </w:tcPr>
          <w:p w14:paraId="202146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pPr>
            <w:r>
              <w:rPr>
                <w:rFonts w:hint="default" w:ascii="仿宋_GB2312" w:eastAsia="仿宋_GB2312" w:cs="仿宋_GB2312"/>
                <w:sz w:val="16"/>
                <w:szCs w:val="16"/>
                <w:bdr w:val="none" w:color="auto" w:sz="0" w:space="0"/>
                <w:shd w:val="clear" w:fill="FFFFFF"/>
              </w:rPr>
              <w:t>心理素质</w:t>
            </w:r>
          </w:p>
        </w:tc>
        <w:tc>
          <w:tcPr>
            <w:tcW w:w="601" w:type="pct"/>
            <w:tcBorders>
              <w:top w:val="single" w:color="000000" w:sz="8" w:space="0"/>
              <w:left w:val="single" w:color="000000" w:sz="8" w:space="0"/>
              <w:bottom w:val="single" w:color="000000" w:sz="8" w:space="0"/>
              <w:right w:val="single" w:color="000000" w:sz="8" w:space="0"/>
            </w:tcBorders>
            <w:shd w:val="clear"/>
            <w:vAlign w:val="center"/>
          </w:tcPr>
          <w:p w14:paraId="7D4A97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jc w:val="center"/>
            </w:pPr>
            <w:r>
              <w:rPr>
                <w:rFonts w:hint="default" w:ascii="仿宋_GB2312" w:eastAsia="仿宋_GB2312" w:cs="仿宋_GB2312"/>
                <w:sz w:val="16"/>
                <w:szCs w:val="16"/>
                <w:bdr w:val="none" w:color="auto" w:sz="0" w:space="0"/>
                <w:shd w:val="clear" w:fill="FFFFFF"/>
              </w:rPr>
              <w:t>15</w:t>
            </w:r>
          </w:p>
        </w:tc>
        <w:tc>
          <w:tcPr>
            <w:tcW w:w="3318" w:type="pct"/>
            <w:tcBorders>
              <w:top w:val="single" w:color="000000" w:sz="8" w:space="0"/>
              <w:left w:val="single" w:color="000000" w:sz="8" w:space="0"/>
              <w:bottom w:val="single" w:color="000000" w:sz="8" w:space="0"/>
              <w:right w:val="single" w:color="000000" w:sz="8" w:space="0"/>
            </w:tcBorders>
            <w:shd w:val="clear"/>
            <w:vAlign w:val="top"/>
          </w:tcPr>
          <w:p w14:paraId="5CFED6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300"/>
            </w:pPr>
            <w:r>
              <w:rPr>
                <w:rFonts w:hint="default" w:ascii="仿宋_GB2312" w:eastAsia="仿宋_GB2312" w:cs="仿宋_GB2312"/>
                <w:sz w:val="16"/>
                <w:szCs w:val="16"/>
                <w:bdr w:val="none" w:color="auto" w:sz="0" w:space="0"/>
                <w:shd w:val="clear" w:fill="FFFFFF"/>
              </w:rPr>
              <w:t>积极、乐观、自信，冷静客观地分析处理问题，具有较好的情绪调节和自控能力,仪态得体大方，肢体表达得当。</w:t>
            </w:r>
          </w:p>
        </w:tc>
      </w:tr>
    </w:tbl>
    <w:p w14:paraId="25369C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555"/>
      </w:pPr>
      <w:r>
        <w:rPr>
          <w:rFonts w:hint="eastAsia" w:ascii="微软雅黑" w:hAnsi="微软雅黑" w:eastAsia="微软雅黑" w:cs="微软雅黑"/>
          <w:b/>
          <w:bCs/>
          <w:i w:val="0"/>
          <w:iCs w:val="0"/>
          <w:caps w:val="0"/>
          <w:color w:val="000000"/>
          <w:spacing w:val="0"/>
          <w:sz w:val="16"/>
          <w:szCs w:val="16"/>
          <w:bdr w:val="none" w:color="auto" w:sz="0" w:space="0"/>
          <w:shd w:val="clear" w:fill="FFFFFF"/>
        </w:rPr>
        <w:t>（五）录取办法</w:t>
      </w:r>
    </w:p>
    <w:p w14:paraId="74709C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555"/>
      </w:pPr>
      <w:r>
        <w:rPr>
          <w:rFonts w:hint="eastAsia" w:ascii="微软雅黑" w:hAnsi="微软雅黑" w:eastAsia="微软雅黑" w:cs="微软雅黑"/>
          <w:i w:val="0"/>
          <w:iCs w:val="0"/>
          <w:caps w:val="0"/>
          <w:color w:val="000000"/>
          <w:spacing w:val="0"/>
          <w:sz w:val="16"/>
          <w:szCs w:val="16"/>
          <w:bdr w:val="none" w:color="auto" w:sz="0" w:space="0"/>
          <w:shd w:val="clear" w:fill="FFFFFF"/>
        </w:rPr>
        <w:t>1.学校根据江西省教育考试院投档到学校的梯度志愿顺序按综合评价成绩高分至低分择优录取，考生综合面试得分相同时，依次按考生职业适应性、语言表达、心理素质得分从高到低排序择优录取。</w:t>
      </w:r>
    </w:p>
    <w:p w14:paraId="736A99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22"/>
      </w:pPr>
      <w:r>
        <w:rPr>
          <w:rFonts w:hint="eastAsia" w:ascii="微软雅黑" w:hAnsi="微软雅黑" w:eastAsia="微软雅黑" w:cs="微软雅黑"/>
          <w:i w:val="0"/>
          <w:iCs w:val="0"/>
          <w:caps w:val="0"/>
          <w:color w:val="000000"/>
          <w:spacing w:val="0"/>
          <w:sz w:val="16"/>
          <w:szCs w:val="16"/>
          <w:bdr w:val="none" w:color="auto" w:sz="0" w:space="0"/>
          <w:shd w:val="clear" w:fill="FFFFFF"/>
        </w:rPr>
        <w:t>2.学校专业计划录取未满情况下，缺额计划将按规定参加征集志愿。征集志愿结束后，若退役大学生专项计划仍有缺额计划，将向上级主管部门申请调入普通类录取考生。</w:t>
      </w:r>
    </w:p>
    <w:p w14:paraId="28B33E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22"/>
      </w:pPr>
      <w:r>
        <w:rPr>
          <w:rFonts w:hint="eastAsia" w:ascii="微软雅黑" w:hAnsi="微软雅黑" w:eastAsia="微软雅黑" w:cs="微软雅黑"/>
          <w:i w:val="0"/>
          <w:iCs w:val="0"/>
          <w:caps w:val="0"/>
          <w:color w:val="000000"/>
          <w:spacing w:val="0"/>
          <w:sz w:val="16"/>
          <w:szCs w:val="16"/>
          <w:bdr w:val="none" w:color="auto" w:sz="0" w:space="0"/>
          <w:shd w:val="clear" w:fill="FFFFFF"/>
        </w:rPr>
        <w:t>3.如遇专业计划不平衡情况，按省教育考试院规定要求进行计划调剂，如遇考生填报的专业与《指导目录》不对应的情况，则由学校根据考生专科毕业专业可对应的本科专业进行调剂；如遇考生专科毕业专业无对应的本校本科专业，则按规定进行退档处理。</w:t>
      </w:r>
    </w:p>
    <w:p w14:paraId="7CE248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555"/>
      </w:pPr>
      <w:r>
        <w:rPr>
          <w:rFonts w:hint="eastAsia" w:ascii="微软雅黑" w:hAnsi="微软雅黑" w:eastAsia="微软雅黑" w:cs="微软雅黑"/>
          <w:i w:val="0"/>
          <w:iCs w:val="0"/>
          <w:caps w:val="0"/>
          <w:color w:val="000000"/>
          <w:spacing w:val="0"/>
          <w:sz w:val="16"/>
          <w:szCs w:val="16"/>
          <w:bdr w:val="none" w:color="auto" w:sz="0" w:space="0"/>
          <w:shd w:val="clear" w:fill="FFFFFF"/>
        </w:rPr>
        <w:t>4.资格审查贯穿考试录取全过程，对不符合报名、录取条件的考生，确认后一律取消资格。考生在参加学校招生考试过程中有严重不诚信行为或电子档案中有不诚信记录的不予录取。</w:t>
      </w:r>
    </w:p>
    <w:p w14:paraId="5EA484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22"/>
      </w:pPr>
      <w:r>
        <w:rPr>
          <w:rFonts w:hint="eastAsia" w:ascii="微软雅黑" w:hAnsi="微软雅黑" w:eastAsia="微软雅黑" w:cs="微软雅黑"/>
          <w:i w:val="0"/>
          <w:iCs w:val="0"/>
          <w:caps w:val="0"/>
          <w:color w:val="000000"/>
          <w:spacing w:val="0"/>
          <w:sz w:val="16"/>
          <w:szCs w:val="16"/>
          <w:bdr w:val="none" w:color="auto" w:sz="0" w:space="0"/>
          <w:shd w:val="clear" w:fill="FFFFFF"/>
        </w:rPr>
        <w:t>5.学校录取结果按照教育部和江西省教育厅的有关要求及规定的形式进行公布。考生可登录学校招生信息网（http://zsjy.nncat.edu.cn/）查询。</w:t>
      </w:r>
    </w:p>
    <w:p w14:paraId="2DCE5D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22"/>
      </w:pPr>
      <w:r>
        <w:rPr>
          <w:rFonts w:hint="eastAsia" w:ascii="微软雅黑" w:hAnsi="微软雅黑" w:eastAsia="微软雅黑" w:cs="微软雅黑"/>
          <w:i w:val="0"/>
          <w:iCs w:val="0"/>
          <w:caps w:val="0"/>
          <w:color w:val="000000"/>
          <w:spacing w:val="0"/>
          <w:sz w:val="16"/>
          <w:szCs w:val="16"/>
          <w:bdr w:val="none" w:color="auto" w:sz="0" w:space="0"/>
          <w:shd w:val="clear" w:fill="FFFFFF"/>
        </w:rPr>
        <w:t>6.已被免试录取的退役大学生士兵不再具有参加统一考试及录取资格。凡符合录取条件的考生，不得以自行放弃为由要求退档。</w:t>
      </w:r>
    </w:p>
    <w:p w14:paraId="09CA77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3"/>
        <w:jc w:val="both"/>
      </w:pPr>
      <w:r>
        <w:rPr>
          <w:rFonts w:hint="eastAsia" w:ascii="微软雅黑" w:hAnsi="微软雅黑" w:eastAsia="微软雅黑" w:cs="微软雅黑"/>
          <w:b/>
          <w:bCs/>
          <w:i w:val="0"/>
          <w:iCs w:val="0"/>
          <w:caps w:val="0"/>
          <w:color w:val="000000"/>
          <w:spacing w:val="0"/>
          <w:sz w:val="16"/>
          <w:szCs w:val="16"/>
          <w:bdr w:val="none" w:color="auto" w:sz="0" w:space="0"/>
          <w:shd w:val="clear" w:fill="FFFFFF"/>
        </w:rPr>
        <w:t>四、收费及资助政策</w:t>
      </w:r>
    </w:p>
    <w:p w14:paraId="019152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一）学校严格按照江西省物价部门批文和有关规定进行收费管理，各专业收费标准可到南昌应用技术师范学院招生信息网查询。学生入学后有特殊原因需办理退学退费的，严格按照省教育厅《江西省民办高校学生退学退费办法》的规定办理退学退费。</w:t>
      </w:r>
    </w:p>
    <w:p w14:paraId="742CDB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二）学校建立了各级各类奖学金，用于激励学生刻苦努力学习；同时设有各级各类助学金，用于资助家庭经济困难学生顺利完成学业。学生在校学期期间，可申请国家生源地信用助学贷款、国家奖助学金、学校奖助学金、服兵役国家教育资助、个人和企业奖助学金等。同时，学校还给学生提供校内勤工助学岗位。</w:t>
      </w:r>
    </w:p>
    <w:p w14:paraId="58A8A0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5"/>
      </w:pPr>
      <w:r>
        <w:rPr>
          <w:rFonts w:hint="eastAsia" w:ascii="微软雅黑" w:hAnsi="微软雅黑" w:eastAsia="微软雅黑" w:cs="微软雅黑"/>
          <w:i w:val="0"/>
          <w:iCs w:val="0"/>
          <w:caps w:val="0"/>
          <w:color w:val="000000"/>
          <w:spacing w:val="0"/>
          <w:sz w:val="16"/>
          <w:szCs w:val="16"/>
          <w:bdr w:val="none" w:color="auto" w:sz="0" w:space="0"/>
          <w:shd w:val="clear" w:fill="FFFFFF"/>
        </w:rPr>
        <w:t>（三）专升本本科新生同样享受学校奖助学金等政策。</w:t>
      </w:r>
    </w:p>
    <w:p w14:paraId="6DF72C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3"/>
        <w:jc w:val="both"/>
      </w:pPr>
      <w:r>
        <w:rPr>
          <w:rFonts w:hint="eastAsia" w:ascii="微软雅黑" w:hAnsi="微软雅黑" w:eastAsia="微软雅黑" w:cs="微软雅黑"/>
          <w:b/>
          <w:bCs/>
          <w:i w:val="0"/>
          <w:iCs w:val="0"/>
          <w:caps w:val="0"/>
          <w:color w:val="000000"/>
          <w:spacing w:val="0"/>
          <w:sz w:val="16"/>
          <w:szCs w:val="16"/>
          <w:bdr w:val="none" w:color="auto" w:sz="0" w:space="0"/>
          <w:shd w:val="clear" w:fill="FFFFFF"/>
        </w:rPr>
        <w:t>五、入学复查</w:t>
      </w:r>
    </w:p>
    <w:p w14:paraId="19617B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5"/>
      </w:pPr>
      <w:r>
        <w:rPr>
          <w:rFonts w:hint="eastAsia" w:ascii="微软雅黑" w:hAnsi="微软雅黑" w:eastAsia="微软雅黑" w:cs="微软雅黑"/>
          <w:i w:val="0"/>
          <w:iCs w:val="0"/>
          <w:caps w:val="0"/>
          <w:color w:val="000000"/>
          <w:spacing w:val="0"/>
          <w:sz w:val="16"/>
          <w:szCs w:val="16"/>
          <w:bdr w:val="none" w:color="auto" w:sz="0" w:space="0"/>
          <w:shd w:val="clear" w:fill="FFFFFF"/>
        </w:rPr>
        <w:t>（一）被我校录取的专升本考生，应在学校规定的期限内到校办理入学手续。因故不能按期入学者，应向学校请假。未请假或请假逾期者，视为自动放弃入学资格。</w:t>
      </w:r>
    </w:p>
    <w:p w14:paraId="420F7B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5"/>
      </w:pPr>
      <w:r>
        <w:rPr>
          <w:rFonts w:hint="eastAsia" w:ascii="微软雅黑" w:hAnsi="微软雅黑" w:eastAsia="微软雅黑" w:cs="微软雅黑"/>
          <w:i w:val="0"/>
          <w:iCs w:val="0"/>
          <w:caps w:val="0"/>
          <w:color w:val="000000"/>
          <w:spacing w:val="0"/>
          <w:sz w:val="16"/>
          <w:szCs w:val="16"/>
          <w:bdr w:val="none" w:color="auto" w:sz="0" w:space="0"/>
          <w:shd w:val="clear" w:fill="FFFFFF"/>
        </w:rPr>
        <w:t>（二）新生入学后，学校在三个月内按照国家招生规定对其进行全面复查，对不符合报考条件、报到条件、身体条件（各专业身体要求按教育部等三部委的《普通高等学校招生体检工作指导意见》执行）和录取标准以及弄虚作假、违纪舞弊者，取消其入学资格，并报江西省教育考试院备案。</w:t>
      </w:r>
    </w:p>
    <w:p w14:paraId="6096C1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22"/>
      </w:pPr>
      <w:r>
        <w:rPr>
          <w:rFonts w:hint="eastAsia" w:ascii="微软雅黑" w:hAnsi="微软雅黑" w:eastAsia="微软雅黑" w:cs="微软雅黑"/>
          <w:b/>
          <w:bCs/>
          <w:i w:val="0"/>
          <w:iCs w:val="0"/>
          <w:caps w:val="0"/>
          <w:color w:val="000000"/>
          <w:spacing w:val="0"/>
          <w:sz w:val="16"/>
          <w:szCs w:val="16"/>
          <w:bdr w:val="none" w:color="auto" w:sz="0" w:space="0"/>
          <w:shd w:val="clear" w:fill="FFFFFF"/>
        </w:rPr>
        <w:t>六、学校联系方式</w:t>
      </w:r>
    </w:p>
    <w:p w14:paraId="12CA64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20"/>
      </w:pPr>
      <w:r>
        <w:rPr>
          <w:rFonts w:hint="eastAsia" w:ascii="微软雅黑" w:hAnsi="微软雅黑" w:eastAsia="微软雅黑" w:cs="微软雅黑"/>
          <w:i w:val="0"/>
          <w:iCs w:val="0"/>
          <w:caps w:val="0"/>
          <w:color w:val="000000"/>
          <w:spacing w:val="0"/>
          <w:sz w:val="16"/>
          <w:szCs w:val="16"/>
          <w:bdr w:val="none" w:color="auto" w:sz="0" w:space="0"/>
          <w:shd w:val="clear" w:fill="FFFFFF"/>
        </w:rPr>
        <w:t>联系电话：0792-7137271、7137272、7137273</w:t>
      </w:r>
    </w:p>
    <w:p w14:paraId="448C4E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5"/>
      </w:pPr>
      <w:r>
        <w:rPr>
          <w:rFonts w:hint="eastAsia" w:ascii="微软雅黑" w:hAnsi="微软雅黑" w:eastAsia="微软雅黑" w:cs="微软雅黑"/>
          <w:i w:val="0"/>
          <w:iCs w:val="0"/>
          <w:caps w:val="0"/>
          <w:color w:val="000000"/>
          <w:spacing w:val="0"/>
          <w:sz w:val="16"/>
          <w:szCs w:val="16"/>
          <w:bdr w:val="none" w:color="auto" w:sz="0" w:space="0"/>
          <w:shd w:val="clear" w:fill="FFFFFF"/>
        </w:rPr>
        <w:t>纪检电话：0792-7137276</w:t>
      </w:r>
    </w:p>
    <w:p w14:paraId="0B4203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5"/>
      </w:pPr>
      <w:r>
        <w:rPr>
          <w:rFonts w:hint="eastAsia" w:ascii="微软雅黑" w:hAnsi="微软雅黑" w:eastAsia="微软雅黑" w:cs="微软雅黑"/>
          <w:i w:val="0"/>
          <w:iCs w:val="0"/>
          <w:caps w:val="0"/>
          <w:color w:val="000000"/>
          <w:spacing w:val="0"/>
          <w:sz w:val="16"/>
          <w:szCs w:val="16"/>
          <w:bdr w:val="none" w:color="auto" w:sz="0" w:space="0"/>
          <w:shd w:val="clear" w:fill="FFFFFF"/>
        </w:rPr>
        <w:t>纪检邮箱：nysjjyx@163.com</w:t>
      </w:r>
    </w:p>
    <w:p w14:paraId="27F692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20"/>
      </w:pPr>
      <w:r>
        <w:rPr>
          <w:rFonts w:hint="eastAsia" w:ascii="微软雅黑" w:hAnsi="微软雅黑" w:eastAsia="微软雅黑" w:cs="微软雅黑"/>
          <w:i w:val="0"/>
          <w:iCs w:val="0"/>
          <w:caps w:val="0"/>
          <w:color w:val="000000"/>
          <w:spacing w:val="0"/>
          <w:sz w:val="16"/>
          <w:szCs w:val="16"/>
          <w:bdr w:val="none" w:color="auto" w:sz="0" w:space="0"/>
          <w:shd w:val="clear" w:fill="FFFFFF"/>
        </w:rPr>
        <w:t>学校网址：http://www.nncat.edu.cn</w:t>
      </w:r>
    </w:p>
    <w:p w14:paraId="2F2636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20"/>
      </w:pPr>
      <w:r>
        <w:rPr>
          <w:rFonts w:hint="eastAsia" w:ascii="微软雅黑" w:hAnsi="微软雅黑" w:eastAsia="微软雅黑" w:cs="微软雅黑"/>
          <w:i w:val="0"/>
          <w:iCs w:val="0"/>
          <w:caps w:val="0"/>
          <w:color w:val="000000"/>
          <w:spacing w:val="0"/>
          <w:sz w:val="16"/>
          <w:szCs w:val="16"/>
          <w:bdr w:val="none" w:color="auto" w:sz="0" w:space="0"/>
          <w:shd w:val="clear" w:fill="FFFFFF"/>
        </w:rPr>
        <w:t>学校招生网址：http://zsjy.nncat.edu.cn/</w:t>
      </w:r>
    </w:p>
    <w:p w14:paraId="47BD25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20"/>
      </w:pPr>
      <w:r>
        <w:rPr>
          <w:rFonts w:hint="eastAsia" w:ascii="微软雅黑" w:hAnsi="微软雅黑" w:eastAsia="微软雅黑" w:cs="微软雅黑"/>
          <w:i w:val="0"/>
          <w:iCs w:val="0"/>
          <w:caps w:val="0"/>
          <w:color w:val="000000"/>
          <w:spacing w:val="0"/>
          <w:sz w:val="16"/>
          <w:szCs w:val="16"/>
          <w:bdr w:val="none" w:color="auto" w:sz="0" w:space="0"/>
          <w:shd w:val="clear" w:fill="FFFFFF"/>
        </w:rPr>
        <w:t>学校教务处网址：http://jwc.nncat.edu.cn/</w:t>
      </w:r>
    </w:p>
    <w:p w14:paraId="426837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学校微信公众号：NYSY20211203</w:t>
      </w:r>
    </w:p>
    <w:p w14:paraId="618632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0"/>
      </w:pPr>
      <w:r>
        <w:rPr>
          <w:rFonts w:hint="eastAsia" w:ascii="微软雅黑" w:hAnsi="微软雅黑" w:eastAsia="微软雅黑" w:cs="微软雅黑"/>
          <w:i w:val="0"/>
          <w:iCs w:val="0"/>
          <w:caps w:val="0"/>
          <w:color w:val="000000"/>
          <w:spacing w:val="0"/>
          <w:sz w:val="16"/>
          <w:szCs w:val="16"/>
          <w:bdr w:val="none" w:color="auto" w:sz="0" w:space="0"/>
          <w:shd w:val="clear" w:fill="FFFFFF"/>
        </w:rPr>
        <w:t>招生就业处微信公众号：NYSYZJC</w:t>
      </w:r>
    </w:p>
    <w:p w14:paraId="2199C6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0" w:lineRule="atLeast"/>
        <w:ind w:left="0" w:right="0" w:firstLine="645"/>
      </w:pPr>
      <w:r>
        <w:rPr>
          <w:rFonts w:hint="eastAsia" w:ascii="微软雅黑" w:hAnsi="微软雅黑" w:eastAsia="微软雅黑" w:cs="微软雅黑"/>
          <w:i w:val="0"/>
          <w:iCs w:val="0"/>
          <w:caps w:val="0"/>
          <w:color w:val="000000"/>
          <w:spacing w:val="0"/>
          <w:sz w:val="16"/>
          <w:szCs w:val="16"/>
          <w:bdr w:val="none" w:color="auto" w:sz="0" w:space="0"/>
          <w:shd w:val="clear" w:fill="FFFFFF"/>
        </w:rPr>
        <w:t>办学地址：学校拟整体搬迁至江西省共青城市南湖新区学府大道1号(赣新校区)。变更办学地址事宜正在核准中。</w:t>
      </w:r>
    </w:p>
    <w:p w14:paraId="10E9DBD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504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2025-02-17T03:07:47Z</dcterms:created>
  <dc:creator>DELL</dc:creator>
  <cp:lastModifiedBy>长乐</cp:lastModifiedBy>
  <dcterms:modified xsi:type="dcterms:W3CDTF">2025-02-17T03:11:00Z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eyJoZGlkIjoiYWJmNTAxYTA0NTllZTU0OWY5NWY0MWNlMzBjNGU2OTYiLCJ1c2VySWQiOiIxNjc0NTY2MTcwIn0=</vt:lpwstr>
  </property>
  <property fmtid="{D5CDD505-2E9C-101B-9397-08002B2CF9AE}" pid="4" name="ICV">
    <vt:lpwstr>32A6366B8F9848E9B2ABAF1CABA98FA2_12</vt:lpwstr>
  </property>
</Properties>
</file>