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FC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ind w:left="0" w:right="0"/>
        <w:jc w:val="center"/>
      </w:pPr>
      <w:r>
        <w:rPr>
          <w:i w:val="0"/>
          <w:iCs w:val="0"/>
          <w:caps w:val="0"/>
          <w:color w:val="000000"/>
          <w:spacing w:val="0"/>
          <w:shd w:val="clear" w:fill="FFFFFF"/>
        </w:rPr>
        <w:t>豫章师范学院2025年专升本招生章程</w:t>
      </w:r>
    </w:p>
    <w:p w14:paraId="545D41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Segoe UI" w:hAnsi="Segoe UI" w:eastAsia="Segoe UI" w:cs="Segoe UI"/>
          <w:i w:val="0"/>
          <w:iCs w:val="0"/>
          <w:caps w:val="0"/>
          <w:color w:val="606266"/>
          <w:spacing w:val="0"/>
          <w:sz w:val="16"/>
          <w:szCs w:val="16"/>
        </w:rPr>
      </w:pPr>
      <w:r>
        <w:rPr>
          <w:rFonts w:hint="default" w:ascii="Segoe UI" w:hAnsi="Segoe UI" w:eastAsia="Segoe UI" w:cs="Segoe UI"/>
          <w:i w:val="0"/>
          <w:iCs w:val="0"/>
          <w:caps w:val="0"/>
          <w:color w:val="606266"/>
          <w:spacing w:val="0"/>
          <w:kern w:val="0"/>
          <w:sz w:val="16"/>
          <w:szCs w:val="16"/>
          <w:shd w:val="clear" w:fill="FFFFFF"/>
          <w:lang w:val="en-US" w:eastAsia="zh-CN" w:bidi="ar"/>
        </w:rPr>
        <w:t>时间:2025-02-17浏览量:378</w:t>
      </w:r>
    </w:p>
    <w:p w14:paraId="361092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豫章师范学院,肇始于1908年，坐落于江西省南昌市红谷滩区红角洲高校园区，是国家教育部批准成立的公办全日制普通本科院校，是江西省和南昌市人民政府共建高校，是南昌市人民政府确定为优先发展重点打造的市属高校。</w:t>
      </w:r>
    </w:p>
    <w:p w14:paraId="4EB26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为切实做好我校2025年普通高校专升本考试招生工作，经学校研究决定，制定本招生章程。</w:t>
      </w:r>
    </w:p>
    <w:p w14:paraId="14CF6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第一条 学校概要</w:t>
      </w:r>
    </w:p>
    <w:p w14:paraId="5A0EF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（一）学校全称：豫章师范学院</w:t>
      </w:r>
    </w:p>
    <w:p w14:paraId="34908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（二）校址：南昌市红谷滩区梅岭大道1999号</w:t>
      </w:r>
    </w:p>
    <w:p w14:paraId="1FDF8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邮编：330103</w:t>
      </w:r>
    </w:p>
    <w:p w14:paraId="3DBA4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（三）办学类型：公办全日制统招普通本科院校</w:t>
      </w:r>
    </w:p>
    <w:p w14:paraId="11579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（四）学制：专升本二年</w:t>
      </w:r>
    </w:p>
    <w:p w14:paraId="5D6CA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（五）主管部门：江西省教育厅、南昌市人民政府</w:t>
      </w:r>
    </w:p>
    <w:p w14:paraId="1FCE6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第二条 组织机构</w:t>
      </w:r>
    </w:p>
    <w:p w14:paraId="540AB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Fonts w:hint="default" w:ascii="Segoe UI" w:hAnsi="Segoe UI" w:eastAsia="Segoe UI" w:cs="Segoe UI"/>
          <w:i w:val="0"/>
          <w:iCs w:val="0"/>
          <w:caps w:val="0"/>
          <w:color w:val="000000"/>
          <w:spacing w:val="0"/>
          <w:sz w:val="21"/>
          <w:szCs w:val="21"/>
          <w:shd w:val="clear" w:fill="FFFFFF"/>
        </w:rPr>
        <w:t>（一）学校成立招生工作领导小组，全面负责学校2025年专升本招生工作，制定2025年专升本招生工作政策，决定有关2025年专升本招生的重大事宜。</w:t>
      </w:r>
    </w:p>
    <w:p w14:paraId="4B8DD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Fonts w:hint="default" w:ascii="Segoe UI" w:hAnsi="Segoe UI" w:eastAsia="Segoe UI" w:cs="Segoe UI"/>
          <w:i w:val="0"/>
          <w:iCs w:val="0"/>
          <w:caps w:val="0"/>
          <w:color w:val="000000"/>
          <w:spacing w:val="0"/>
          <w:sz w:val="21"/>
          <w:szCs w:val="21"/>
          <w:shd w:val="clear" w:fill="FFFFFF"/>
        </w:rPr>
        <w:t>（二）学校招生工作办公室是组织和实施专升本招生工作的常设机构，具体负责学校2025年专升本招生工作。未授权或委托任何中介（培训）机构或个人开展2025年专升本招生活动。 （三）学校纪检部门对2025年专升本招生工作实施监督，负责监督招生工作各项政策和规定的落实，维护广大考生和学校的合法权益。</w:t>
      </w:r>
    </w:p>
    <w:p w14:paraId="31797D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Fonts w:hint="default" w:ascii="Segoe UI" w:hAnsi="Segoe UI" w:eastAsia="Segoe UI" w:cs="Segoe UI"/>
          <w:i w:val="0"/>
          <w:iCs w:val="0"/>
          <w:caps w:val="0"/>
          <w:color w:val="000000"/>
          <w:spacing w:val="0"/>
          <w:sz w:val="21"/>
          <w:szCs w:val="21"/>
          <w:shd w:val="clear" w:fill="FFFFFF"/>
        </w:rPr>
        <w:t>（三）学校纪检部门对2025年专升本招生工作实施监督，负责监督招生工作各项政策和规定的落实，维护广大考生和学校的合法权益。</w:t>
      </w:r>
    </w:p>
    <w:p w14:paraId="56059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第三条 招生对象</w:t>
      </w:r>
    </w:p>
    <w:p w14:paraId="53BCE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（一）江西省普通高职（专科）应届毕业生，且在2025年7月31日前可取得毕业证的考生。</w:t>
      </w:r>
    </w:p>
    <w:p w14:paraId="15AA8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（二）已退役大学生士兵（含2025年3月退役大学生士兵）在2025年7月31日前可取得或已取得毕业证，且符合下列条件之一：</w:t>
      </w:r>
    </w:p>
    <w:p w14:paraId="795EB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1.江西省普通高职（专科）学生在校期间或毕业后应征入伍。</w:t>
      </w:r>
    </w:p>
    <w:p w14:paraId="5279A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2.外省普通高职（专科）学生在校期间或毕业后，在江西应征入伍。</w:t>
      </w:r>
    </w:p>
    <w:p w14:paraId="2A6A7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Style w:val="6"/>
          <w:rFonts w:hint="default" w:ascii="Segoe UI" w:hAnsi="Segoe UI" w:eastAsia="Segoe UI" w:cs="Segoe UI"/>
          <w:b/>
          <w:bCs/>
          <w:i w:val="0"/>
          <w:iCs w:val="0"/>
          <w:caps w:val="0"/>
          <w:color w:val="000000"/>
          <w:spacing w:val="0"/>
          <w:sz w:val="21"/>
          <w:szCs w:val="21"/>
          <w:shd w:val="clear" w:fill="FFFFFF"/>
        </w:rPr>
        <w:t>第四条 报名条件</w:t>
      </w:r>
    </w:p>
    <w:p w14:paraId="43525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（一）考生（含免试生）报名需同时满足以下基本条件。其中，条件4只适用于退役大学生士兵。</w:t>
      </w:r>
    </w:p>
    <w:p w14:paraId="549DC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1.遵守《中华人民共和国宪法》及其他法律法规。</w:t>
      </w:r>
    </w:p>
    <w:p w14:paraId="44F79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2.身体健康，各专业身体要求按教育部等三部委印发的《普通高等学校招生体检工作指导意见》执行。</w:t>
      </w:r>
    </w:p>
    <w:p w14:paraId="271BDD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3.普通高职（专科）学习期间无记过及以上纪律处分，或受到纪律处分但报名前已解除处分的。</w:t>
      </w:r>
    </w:p>
    <w:p w14:paraId="2AE85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4.在入伍期间和退役后工作学习期间，无记过及以上纪律处分，或受到纪律处分但报名前已解除处分的。</w:t>
      </w:r>
    </w:p>
    <w:p w14:paraId="1381F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Fonts w:hint="default" w:ascii="Segoe UI" w:hAnsi="Segoe UI" w:eastAsia="Segoe UI" w:cs="Segoe UI"/>
          <w:i w:val="0"/>
          <w:iCs w:val="0"/>
          <w:caps w:val="0"/>
          <w:color w:val="000000"/>
          <w:spacing w:val="0"/>
          <w:sz w:val="21"/>
          <w:szCs w:val="21"/>
          <w:shd w:val="clear" w:fill="FFFFFF"/>
        </w:rPr>
        <w:t>（二）专项考生（含免试生）在满足以上基本条件的同时，还需满足专项计划所规定的条件。</w:t>
      </w:r>
    </w:p>
    <w:p w14:paraId="35310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第五条 招生专业及计划</w:t>
      </w:r>
      <w:r>
        <w:rPr>
          <w:rFonts w:hint="default" w:ascii="Segoe UI" w:hAnsi="Segoe UI" w:eastAsia="Segoe UI" w:cs="Segoe UI"/>
          <w:i w:val="0"/>
          <w:iCs w:val="0"/>
          <w:caps w:val="0"/>
          <w:color w:val="000000"/>
          <w:spacing w:val="0"/>
          <w:sz w:val="21"/>
          <w:szCs w:val="21"/>
          <w:shd w:val="clear" w:fill="FFFFFF"/>
        </w:rPr>
        <w:t>（招生数以省教育厅实际下达计划为准）</w:t>
      </w:r>
    </w:p>
    <w:tbl>
      <w:tblPr>
        <w:tblStyle w:val="4"/>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9"/>
        <w:gridCol w:w="1022"/>
        <w:gridCol w:w="2784"/>
        <w:gridCol w:w="947"/>
        <w:gridCol w:w="947"/>
        <w:gridCol w:w="947"/>
        <w:gridCol w:w="569"/>
        <w:gridCol w:w="668"/>
        <w:gridCol w:w="947"/>
      </w:tblGrid>
      <w:tr w14:paraId="3530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 w:hRule="atLeast"/>
        </w:trPr>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33A5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序号</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E0BE8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专业代码</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4F7B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专业名称</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6620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退役士兵</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B3E7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获奖学生</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3A57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脱贫家庭</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AEDE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普通</w:t>
            </w:r>
          </w:p>
        </w:tc>
        <w:tc>
          <w:tcPr>
            <w:tcW w:w="0" w:type="auto"/>
            <w:vMerge w:val="restart"/>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9F7D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合计</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A56C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收费标准</w:t>
            </w:r>
          </w:p>
        </w:tc>
      </w:tr>
      <w:tr w14:paraId="7DE1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 w:hRule="atLeast"/>
        </w:trPr>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4AD223B">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F525BA5">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BF0E665">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658EC0B">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627FAD0">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E35C987">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D3C3439">
            <w:pPr>
              <w:rPr>
                <w:rFonts w:hint="eastAsia" w:ascii="宋体"/>
                <w:color w:val="FF0000"/>
                <w:sz w:val="32"/>
                <w:szCs w:val="32"/>
              </w:rPr>
            </w:pPr>
          </w:p>
        </w:tc>
        <w:tc>
          <w:tcPr>
            <w:tcW w:w="0" w:type="auto"/>
            <w:vMerge w:val="continue"/>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5B82D55">
            <w:pPr>
              <w:rPr>
                <w:rFonts w:hint="eastAsia" w:ascii="宋体"/>
                <w:color w:val="FF0000"/>
                <w:sz w:val="32"/>
                <w:szCs w:val="32"/>
              </w:rPr>
            </w:pP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BF94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rStyle w:val="6"/>
                <w:b/>
                <w:bCs/>
                <w:color w:val="FF0000"/>
                <w:sz w:val="16"/>
                <w:szCs w:val="16"/>
              </w:rPr>
              <w:t>(元/年)</w:t>
            </w:r>
          </w:p>
        </w:tc>
      </w:tr>
      <w:tr w14:paraId="125D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1009C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8E0B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040105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78FE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艺术教育</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68A0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8F52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A1E3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01F7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86</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D3FE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AB99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7CDA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69BD2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A715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040106</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9802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学前教育（保教班）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A16B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8EDE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6</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8593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11</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3108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49B0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E590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167E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55BFE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A582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040108</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C717F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特殊教育</w:t>
            </w:r>
          </w:p>
          <w:p w14:paraId="14742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（儿童康复产业班）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14E2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024A3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6E55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CD83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4F35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0F18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2764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55147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49EEA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130205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76F4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舞蹈学</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A2E7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F76F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08AE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C3FC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77</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D11C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2EE2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8000</w:t>
            </w:r>
          </w:p>
        </w:tc>
      </w:tr>
      <w:tr w14:paraId="4C84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212A1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D2C1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130202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762E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音乐学</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2C00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58FC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C8A0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8ABA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77</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E87A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9F27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8000</w:t>
            </w:r>
          </w:p>
        </w:tc>
      </w:tr>
      <w:tr w14:paraId="0B6C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452A4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6</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8D06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120904T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3BB0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旅游管理与服务教育</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2208F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9F89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FD79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A224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43CF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2F21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57AC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25DDD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7</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9E4A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050262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0484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商务英语</w:t>
            </w:r>
          </w:p>
          <w:p w14:paraId="74C455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（跨境电商产业班）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9D25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D33C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6C0A7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9CCB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DE86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399D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56C4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12C91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2294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120206</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6578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人力资源管理</w:t>
            </w:r>
          </w:p>
          <w:p w14:paraId="371F9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（数智人力服务产业班）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351F8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725C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E7C9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A4EB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21CA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5E39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77E4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14BE4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9</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D531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040203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68F8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社会体育指导与管理</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07BC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0D5C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4E75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DB92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A5EF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C91FA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4AF9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3389D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02C75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040201</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1999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体育教育</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BB89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695C0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D2FB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76C5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63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8011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75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463B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2A9F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47E0F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11</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60A9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130502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C96C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视觉传达设计</w:t>
            </w:r>
          </w:p>
          <w:p w14:paraId="38D20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（非遗文创产业班）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03F9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7509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A98E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0B13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29</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6657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5A1F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8000</w:t>
            </w:r>
          </w:p>
        </w:tc>
      </w:tr>
      <w:tr w14:paraId="2AF8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53110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7C2FD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130503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C74C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环境设计</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3619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3441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DD5A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94F3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29</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EC01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6388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8000</w:t>
            </w:r>
          </w:p>
        </w:tc>
      </w:tr>
      <w:tr w14:paraId="7F95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09513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BA17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130309</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E78A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播音与主持艺术</w:t>
            </w:r>
          </w:p>
          <w:p w14:paraId="21817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（直播营销产业班）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CB81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02B8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74B8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6A8B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5675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BEE9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8000</w:t>
            </w:r>
          </w:p>
        </w:tc>
      </w:tr>
      <w:tr w14:paraId="5A4B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594B2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14</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D89B3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050301</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7811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新闻学</w:t>
            </w:r>
            <w:bookmarkStart w:id="0" w:name="_GoBack"/>
            <w:bookmarkEnd w:id="0"/>
          </w:p>
          <w:p w14:paraId="6A81D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（数字营销产业班）</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20F8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37F61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0649C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55CD0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40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7A46A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7EBD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3880</w:t>
            </w:r>
          </w:p>
        </w:tc>
      </w:tr>
      <w:tr w14:paraId="359B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07D96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p>
        </w:tc>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57D6C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60BF0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合计</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2FFCF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20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1AE29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50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B2DC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100</w:t>
            </w:r>
          </w:p>
        </w:tc>
        <w:tc>
          <w:tcPr>
            <w:tcW w:w="0" w:type="auto"/>
            <w:tcBorders>
              <w:top w:val="single" w:color="D9D9D9" w:sz="4" w:space="0"/>
              <w:left w:val="single" w:color="D9D9D9" w:sz="4" w:space="0"/>
              <w:bottom w:val="single" w:color="D9D9D9" w:sz="4" w:space="0"/>
              <w:right w:val="single" w:color="D9D9D9" w:sz="4" w:space="0"/>
            </w:tcBorders>
            <w:shd w:val="clear" w:color="auto" w:fill="FFFFFF"/>
            <w:tcMar>
              <w:top w:w="40" w:type="dxa"/>
              <w:left w:w="80" w:type="dxa"/>
              <w:bottom w:w="40" w:type="dxa"/>
              <w:right w:w="80" w:type="dxa"/>
            </w:tcMar>
            <w:vAlign w:val="top"/>
          </w:tcPr>
          <w:p w14:paraId="402BC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830</w:t>
            </w:r>
          </w:p>
        </w:tc>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008F5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r>
              <w:rPr>
                <w:color w:val="FF0000"/>
                <w:sz w:val="20"/>
                <w:szCs w:val="20"/>
              </w:rPr>
              <w:t>1000</w:t>
            </w:r>
          </w:p>
        </w:tc>
        <w:tc>
          <w:tcPr>
            <w:tcW w:w="0" w:type="auto"/>
            <w:tcBorders>
              <w:top w:val="single" w:color="D9D9D9" w:sz="4" w:space="0"/>
              <w:left w:val="single" w:color="D9D9D9" w:sz="4" w:space="0"/>
              <w:bottom w:val="single" w:color="D9D9D9" w:sz="4" w:space="0"/>
              <w:right w:val="single" w:color="D9D9D9" w:sz="4" w:space="0"/>
            </w:tcBorders>
            <w:shd w:val="clear" w:color="auto" w:fill="auto"/>
            <w:tcMar>
              <w:top w:w="40" w:type="dxa"/>
              <w:left w:w="80" w:type="dxa"/>
              <w:bottom w:w="40" w:type="dxa"/>
              <w:right w:w="80" w:type="dxa"/>
            </w:tcMar>
            <w:vAlign w:val="top"/>
          </w:tcPr>
          <w:p w14:paraId="5E0BF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sz w:val="32"/>
                <w:szCs w:val="32"/>
              </w:rPr>
            </w:pPr>
          </w:p>
        </w:tc>
      </w:tr>
      <w:tr w14:paraId="01A9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shd w:val="clear" w:color="auto" w:fill="auto"/>
            <w:vAlign w:val="center"/>
          </w:tcPr>
          <w:p w14:paraId="3C807BB9">
            <w:pPr>
              <w:rPr>
                <w:rFonts w:hint="eastAsia" w:ascii="宋体"/>
                <w:color w:val="FF0000"/>
                <w:sz w:val="32"/>
                <w:szCs w:val="32"/>
              </w:rPr>
            </w:pPr>
          </w:p>
        </w:tc>
        <w:tc>
          <w:tcPr>
            <w:tcW w:w="0" w:type="auto"/>
            <w:shd w:val="clear" w:color="auto" w:fill="auto"/>
            <w:vAlign w:val="center"/>
          </w:tcPr>
          <w:p w14:paraId="410DC680">
            <w:pPr>
              <w:rPr>
                <w:rFonts w:hint="eastAsia" w:ascii="宋体"/>
                <w:color w:val="FF0000"/>
                <w:sz w:val="32"/>
                <w:szCs w:val="32"/>
              </w:rPr>
            </w:pPr>
          </w:p>
        </w:tc>
        <w:tc>
          <w:tcPr>
            <w:tcW w:w="0" w:type="auto"/>
            <w:shd w:val="clear" w:color="auto" w:fill="auto"/>
            <w:vAlign w:val="center"/>
          </w:tcPr>
          <w:p w14:paraId="7AF6E2A3">
            <w:pPr>
              <w:rPr>
                <w:rFonts w:hint="eastAsia" w:ascii="宋体"/>
                <w:color w:val="FF0000"/>
                <w:sz w:val="32"/>
                <w:szCs w:val="32"/>
              </w:rPr>
            </w:pPr>
          </w:p>
        </w:tc>
        <w:tc>
          <w:tcPr>
            <w:tcW w:w="0" w:type="auto"/>
            <w:shd w:val="clear" w:color="auto" w:fill="auto"/>
            <w:vAlign w:val="center"/>
          </w:tcPr>
          <w:p w14:paraId="073501B3">
            <w:pPr>
              <w:rPr>
                <w:rFonts w:hint="eastAsia" w:ascii="宋体"/>
                <w:color w:val="FF0000"/>
                <w:sz w:val="32"/>
                <w:szCs w:val="32"/>
              </w:rPr>
            </w:pPr>
          </w:p>
        </w:tc>
        <w:tc>
          <w:tcPr>
            <w:tcW w:w="0" w:type="auto"/>
            <w:shd w:val="clear" w:color="auto" w:fill="auto"/>
            <w:vAlign w:val="center"/>
          </w:tcPr>
          <w:p w14:paraId="7D387EC2">
            <w:pPr>
              <w:rPr>
                <w:rFonts w:hint="eastAsia" w:ascii="宋体"/>
                <w:color w:val="FF0000"/>
                <w:sz w:val="32"/>
                <w:szCs w:val="32"/>
              </w:rPr>
            </w:pPr>
          </w:p>
        </w:tc>
        <w:tc>
          <w:tcPr>
            <w:tcW w:w="0" w:type="auto"/>
            <w:shd w:val="clear" w:color="auto" w:fill="auto"/>
            <w:vAlign w:val="center"/>
          </w:tcPr>
          <w:p w14:paraId="748A2911">
            <w:pPr>
              <w:rPr>
                <w:rFonts w:hint="eastAsia" w:ascii="宋体"/>
                <w:color w:val="FF0000"/>
                <w:sz w:val="32"/>
                <w:szCs w:val="32"/>
              </w:rPr>
            </w:pPr>
          </w:p>
        </w:tc>
        <w:tc>
          <w:tcPr>
            <w:tcW w:w="0" w:type="auto"/>
            <w:shd w:val="clear" w:color="auto" w:fill="auto"/>
            <w:vAlign w:val="center"/>
          </w:tcPr>
          <w:p w14:paraId="5A4AD141">
            <w:pPr>
              <w:rPr>
                <w:rFonts w:hint="eastAsia" w:ascii="宋体"/>
                <w:color w:val="FF0000"/>
                <w:sz w:val="32"/>
                <w:szCs w:val="32"/>
              </w:rPr>
            </w:pPr>
          </w:p>
        </w:tc>
        <w:tc>
          <w:tcPr>
            <w:tcW w:w="0" w:type="auto"/>
            <w:shd w:val="clear" w:color="auto" w:fill="auto"/>
            <w:vAlign w:val="center"/>
          </w:tcPr>
          <w:p w14:paraId="63D4AEFC">
            <w:pPr>
              <w:rPr>
                <w:rFonts w:hint="eastAsia" w:ascii="宋体"/>
                <w:color w:val="FF0000"/>
                <w:sz w:val="32"/>
                <w:szCs w:val="32"/>
              </w:rPr>
            </w:pPr>
          </w:p>
        </w:tc>
        <w:tc>
          <w:tcPr>
            <w:tcW w:w="0" w:type="auto"/>
            <w:shd w:val="clear" w:color="auto" w:fill="auto"/>
            <w:vAlign w:val="center"/>
          </w:tcPr>
          <w:p w14:paraId="7EBE1843">
            <w:pPr>
              <w:rPr>
                <w:rFonts w:hint="eastAsia" w:ascii="宋体"/>
                <w:color w:val="FF0000"/>
                <w:sz w:val="32"/>
                <w:szCs w:val="32"/>
              </w:rPr>
            </w:pPr>
          </w:p>
        </w:tc>
      </w:tr>
    </w:tbl>
    <w:p w14:paraId="06693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p>
    <w:p w14:paraId="22680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第六条 录取规则</w:t>
      </w:r>
    </w:p>
    <w:p w14:paraId="36520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（一）省教育厅按招考类别分别划定全省最低录取控制分数线。</w:t>
      </w:r>
    </w:p>
    <w:p w14:paraId="5F2B3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（二）录取原则：专升本招生坚持择优录取、宁缺毋滥原则，依据各招生专业计划，分数优先，遵循志愿，按投档成绩从高分到低分依次录取</w:t>
      </w:r>
      <w:r>
        <w:rPr>
          <w:rFonts w:hint="default" w:ascii="Segoe UI" w:hAnsi="Segoe UI" w:eastAsia="Segoe UI" w:cs="Segoe UI"/>
          <w:i w:val="0"/>
          <w:iCs w:val="0"/>
          <w:caps w:val="0"/>
          <w:color w:val="333333"/>
          <w:spacing w:val="0"/>
          <w:sz w:val="21"/>
          <w:szCs w:val="21"/>
          <w:shd w:val="clear" w:fill="FFFFFF"/>
        </w:rPr>
        <w:t>。</w:t>
      </w:r>
      <w:r>
        <w:rPr>
          <w:rFonts w:hint="default" w:ascii="Segoe UI" w:hAnsi="Segoe UI" w:eastAsia="Segoe UI" w:cs="Segoe UI"/>
          <w:i w:val="0"/>
          <w:iCs w:val="0"/>
          <w:caps w:val="0"/>
          <w:color w:val="333333"/>
          <w:spacing w:val="0"/>
          <w:sz w:val="21"/>
          <w:szCs w:val="21"/>
          <w:u w:val="single"/>
          <w:shd w:val="clear" w:fill="FFFFFF"/>
        </w:rPr>
        <w:t>若总分相同时，专业基础及技能知识课优先，其次按政治、英语、信息技术课程顺序，单科分数高低排序录取。</w:t>
      </w:r>
    </w:p>
    <w:p w14:paraId="1065C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（三）退役大学生士兵录取规则按《豫章师范学院2025年专升本退役大学生士兵专项免试录取考查办法》进行录取。</w:t>
      </w:r>
    </w:p>
    <w:p w14:paraId="5CEB4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第七条收费标准</w:t>
      </w:r>
    </w:p>
    <w:p w14:paraId="52A68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（一）学校严格按照江西省发改委、省教育厅、省财政厅批准的项目和标准收费。</w:t>
      </w:r>
    </w:p>
    <w:p w14:paraId="65C23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333333"/>
          <w:spacing w:val="0"/>
          <w:sz w:val="21"/>
          <w:szCs w:val="21"/>
          <w:shd w:val="clear" w:fill="FFFFFF"/>
        </w:rPr>
        <w:t>（二）住宿费先按1000元/年预缴，待入学后根据实际住宿标准退付差额。</w:t>
      </w:r>
    </w:p>
    <w:p w14:paraId="0A2CC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第八条资助、奖励</w:t>
      </w:r>
    </w:p>
    <w:p w14:paraId="48BA19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r>
        <w:rPr>
          <w:rFonts w:hint="default" w:ascii="Segoe UI" w:hAnsi="Segoe UI" w:eastAsia="Segoe UI" w:cs="Segoe UI"/>
          <w:i w:val="0"/>
          <w:iCs w:val="0"/>
          <w:caps w:val="0"/>
          <w:color w:val="333333"/>
          <w:spacing w:val="0"/>
          <w:sz w:val="21"/>
          <w:szCs w:val="21"/>
          <w:shd w:val="clear" w:fill="FFFFFF"/>
        </w:rPr>
        <w:t>　　（一） 高等教育阶段建立起国家奖学金、国家励志奖学金、国家助学金、国家助学贷款、服兵役国家教育资助、勤工助学、社会资助等多种形式有机结合的高校家庭经济困难学生资助政策体系。家庭经济困难学生考入大学，可通过学校开设的“绿色通道”按时报到。入校后，学校对其家庭经济困难情况进行核实，采取不同措施给予资助。其中，解决学费、住宿费问题，以国家助学贷款为主，以国家励志奖学金等为辅；解决生活费问题，以国家助学金为主，以勤工助学等为辅。</w:t>
      </w:r>
    </w:p>
    <w:p w14:paraId="7E8EE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55"/>
      </w:pPr>
      <w:r>
        <w:rPr>
          <w:rFonts w:hint="default" w:ascii="Segoe UI" w:hAnsi="Segoe UI" w:eastAsia="Segoe UI" w:cs="Segoe UI"/>
          <w:i w:val="0"/>
          <w:iCs w:val="0"/>
          <w:caps w:val="0"/>
          <w:color w:val="333333"/>
          <w:spacing w:val="0"/>
          <w:sz w:val="21"/>
          <w:szCs w:val="21"/>
          <w:shd w:val="clear" w:fill="FFFFFF"/>
        </w:rPr>
        <w:t>（二）学校对品学兼优的学生实行奖学金制度，对家庭经济困难的学生给予助学制度。其中国家奖学金每人每年8000元，国家励志奖学金每人每年5000元，助学金每人每年按等级一等4400元、二等3300元、三等2200元；学校还设立了德才奖学金，每学年评选两次。家庭经济特别困难的新生可在当地凭新生录取通知书申请办理生源地国家助学贷款。</w:t>
      </w:r>
    </w:p>
    <w:p w14:paraId="0BB60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第九条 报到</w:t>
      </w:r>
    </w:p>
    <w:p w14:paraId="1FA12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按国家招生规定录取的新生，持录取通知书，按学校有关要求和规定的期限到校办理入学手续。因故不能按期入学的，应当提前向学校请假。未请假或者请假逾期的，除因不可抗力等正当事由以外，视为放弃入学资格。</w:t>
      </w:r>
    </w:p>
    <w:p w14:paraId="2D1FF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r>
        <w:rPr>
          <w:rStyle w:val="6"/>
          <w:rFonts w:hint="default" w:ascii="Segoe UI" w:hAnsi="Segoe UI" w:eastAsia="Segoe UI" w:cs="Segoe UI"/>
          <w:b/>
          <w:bCs/>
          <w:i w:val="0"/>
          <w:iCs w:val="0"/>
          <w:caps w:val="0"/>
          <w:color w:val="333333"/>
          <w:spacing w:val="0"/>
          <w:sz w:val="21"/>
          <w:szCs w:val="21"/>
          <w:shd w:val="clear" w:fill="FFFFFF"/>
        </w:rPr>
        <w:t>第十条</w:t>
      </w:r>
      <w:r>
        <w:rPr>
          <w:rStyle w:val="6"/>
          <w:rFonts w:hint="default" w:ascii="Segoe UI" w:hAnsi="Segoe UI" w:eastAsia="Segoe UI" w:cs="Segoe UI"/>
          <w:b/>
          <w:bCs/>
          <w:i w:val="0"/>
          <w:iCs w:val="0"/>
          <w:caps w:val="0"/>
          <w:color w:val="333333"/>
          <w:spacing w:val="0"/>
          <w:sz w:val="21"/>
          <w:szCs w:val="21"/>
          <w:u w:val="single"/>
          <w:shd w:val="clear" w:fill="FFFFFF"/>
        </w:rPr>
        <w:t>资格审查贯穿考试录取全过程。</w:t>
      </w:r>
    </w:p>
    <w:p w14:paraId="101E7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新生入学后，学校将在三个月内进行入学资格复查。复查合格者，按时进行学籍学历电子注册。复查不合格者，学校将根据国家有关规定视情况予以处理，直至取消入学资格。凡发现有弄虚作假者，一经查实，取消其入学资格或学籍。</w:t>
      </w:r>
    </w:p>
    <w:p w14:paraId="05148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第十一条</w:t>
      </w:r>
      <w:r>
        <w:rPr>
          <w:rFonts w:hint="default" w:ascii="Segoe UI" w:hAnsi="Segoe UI" w:eastAsia="Segoe UI" w:cs="Segoe UI"/>
          <w:i w:val="0"/>
          <w:iCs w:val="0"/>
          <w:caps w:val="0"/>
          <w:color w:val="000000"/>
          <w:spacing w:val="0"/>
          <w:sz w:val="21"/>
          <w:szCs w:val="21"/>
          <w:shd w:val="clear" w:fill="FFFFFF"/>
        </w:rPr>
        <w:t> 凡经考试选拔进入本科阶段学习的“专升本”学生，享受统招本科生同等待遇。学生在学校规定学习年限内，修完教育教学计划规定内容，成绩合格，达到学校毕业要求的，由我校按照国家相关文件要求颁发本科毕业证书(注明“在我校 XX 专业专科起点本科学习”)，学习时间按进入本科阶段学习和颁发毕业证实际时间填写。</w:t>
      </w:r>
      <w:r>
        <w:rPr>
          <w:rFonts w:hint="default" w:ascii="Segoe UI" w:hAnsi="Segoe UI" w:eastAsia="Segoe UI" w:cs="Segoe UI"/>
          <w:i w:val="0"/>
          <w:iCs w:val="0"/>
          <w:caps w:val="0"/>
          <w:color w:val="333333"/>
          <w:spacing w:val="0"/>
          <w:sz w:val="21"/>
          <w:szCs w:val="21"/>
          <w:shd w:val="clear" w:fill="FFFFFF"/>
        </w:rPr>
        <w:t>符合学位授予条件的，颁发学位证书。</w:t>
      </w:r>
    </w:p>
    <w:p w14:paraId="74C14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000000"/>
          <w:spacing w:val="0"/>
          <w:sz w:val="21"/>
          <w:szCs w:val="21"/>
          <w:shd w:val="clear" w:fill="FFFFFF"/>
        </w:rPr>
        <w:t>第十二条</w:t>
      </w:r>
      <w:r>
        <w:rPr>
          <w:rFonts w:hint="default" w:ascii="Segoe UI" w:hAnsi="Segoe UI" w:eastAsia="Segoe UI" w:cs="Segoe UI"/>
          <w:i w:val="0"/>
          <w:iCs w:val="0"/>
          <w:caps w:val="0"/>
          <w:color w:val="000000"/>
          <w:spacing w:val="0"/>
          <w:sz w:val="21"/>
          <w:szCs w:val="21"/>
          <w:shd w:val="clear" w:fill="FFFFFF"/>
        </w:rPr>
        <w:t> 其它未尽事宜请向豫章师范学院教务处、招生就业处咨询。热忱欢迎广大优秀应届高职高专毕业生踊跃报考豫章师范学院！</w:t>
      </w:r>
    </w:p>
    <w:p w14:paraId="47280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000000"/>
          <w:spacing w:val="0"/>
          <w:sz w:val="21"/>
          <w:szCs w:val="21"/>
          <w:shd w:val="clear" w:fill="FFFFFF"/>
        </w:rPr>
        <w:t>教务处咨询电话：0791-87545231</w:t>
      </w:r>
    </w:p>
    <w:p w14:paraId="255E0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60"/>
      </w:pPr>
      <w:r>
        <w:rPr>
          <w:rFonts w:hint="default" w:ascii="Segoe UI" w:hAnsi="Segoe UI" w:eastAsia="Segoe UI" w:cs="Segoe UI"/>
          <w:i w:val="0"/>
          <w:iCs w:val="0"/>
          <w:caps w:val="0"/>
          <w:color w:val="000000"/>
          <w:spacing w:val="0"/>
          <w:sz w:val="21"/>
          <w:szCs w:val="21"/>
          <w:shd w:val="clear" w:fill="FFFFFF"/>
        </w:rPr>
        <w:t>招生就业处咨询电话：0791-87545147</w:t>
      </w:r>
    </w:p>
    <w:p w14:paraId="17ECE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60"/>
      </w:pPr>
      <w:r>
        <w:rPr>
          <w:rFonts w:hint="default" w:ascii="Segoe UI" w:hAnsi="Segoe UI" w:eastAsia="Segoe UI" w:cs="Segoe UI"/>
          <w:i w:val="0"/>
          <w:iCs w:val="0"/>
          <w:caps w:val="0"/>
          <w:color w:val="333333"/>
          <w:spacing w:val="0"/>
          <w:sz w:val="21"/>
          <w:szCs w:val="21"/>
          <w:shd w:val="clear" w:fill="FFFFFF"/>
        </w:rPr>
        <w:t>电子邮箱：yzsyzsb@163.com</w:t>
      </w:r>
    </w:p>
    <w:p w14:paraId="722966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333333"/>
          <w:spacing w:val="0"/>
          <w:sz w:val="21"/>
          <w:szCs w:val="21"/>
          <w:shd w:val="clear" w:fill="FFFFFF"/>
        </w:rPr>
        <w:t>第十三条</w:t>
      </w:r>
      <w:r>
        <w:rPr>
          <w:rFonts w:hint="default" w:ascii="Segoe UI" w:hAnsi="Segoe UI" w:eastAsia="Segoe UI" w:cs="Segoe UI"/>
          <w:i w:val="0"/>
          <w:iCs w:val="0"/>
          <w:caps w:val="0"/>
          <w:color w:val="333333"/>
          <w:spacing w:val="0"/>
          <w:sz w:val="21"/>
          <w:szCs w:val="21"/>
          <w:shd w:val="clear" w:fill="FFFFFF"/>
        </w:rPr>
        <w:t>豫章师范学院纪检监察部门的联系方式：</w:t>
      </w:r>
    </w:p>
    <w:p w14:paraId="48EA8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333333"/>
          <w:spacing w:val="0"/>
          <w:sz w:val="21"/>
          <w:szCs w:val="21"/>
          <w:shd w:val="clear" w:fill="FFFFFF"/>
        </w:rPr>
        <w:t>监督电话：0791-87545130</w:t>
      </w:r>
    </w:p>
    <w:p w14:paraId="23369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0"/>
      </w:pPr>
      <w:r>
        <w:rPr>
          <w:rFonts w:hint="default" w:ascii="Segoe UI" w:hAnsi="Segoe UI" w:eastAsia="Segoe UI" w:cs="Segoe UI"/>
          <w:i w:val="0"/>
          <w:iCs w:val="0"/>
          <w:caps w:val="0"/>
          <w:color w:val="333333"/>
          <w:spacing w:val="0"/>
          <w:sz w:val="21"/>
          <w:szCs w:val="21"/>
          <w:shd w:val="clear" w:fill="FFFFFF"/>
        </w:rPr>
        <w:t>电子邮箱：</w:t>
      </w:r>
      <w:r>
        <w:rPr>
          <w:rFonts w:hint="default" w:ascii="Segoe UI" w:hAnsi="Segoe UI" w:eastAsia="Segoe UI" w:cs="Segoe UI"/>
          <w:i w:val="0"/>
          <w:iCs w:val="0"/>
          <w:caps w:val="0"/>
          <w:color w:val="000000"/>
          <w:spacing w:val="0"/>
          <w:sz w:val="21"/>
          <w:szCs w:val="21"/>
          <w:shd w:val="clear" w:fill="FFFFFF"/>
        </w:rPr>
        <w:t>yzsfxyjwjdjcs@163.com</w:t>
      </w:r>
    </w:p>
    <w:p w14:paraId="2673F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643"/>
      </w:pPr>
      <w:r>
        <w:rPr>
          <w:rStyle w:val="6"/>
          <w:rFonts w:hint="default" w:ascii="Segoe UI" w:hAnsi="Segoe UI" w:eastAsia="Segoe UI" w:cs="Segoe UI"/>
          <w:b/>
          <w:bCs/>
          <w:i w:val="0"/>
          <w:iCs w:val="0"/>
          <w:caps w:val="0"/>
          <w:color w:val="333333"/>
          <w:spacing w:val="0"/>
          <w:sz w:val="21"/>
          <w:szCs w:val="21"/>
          <w:shd w:val="clear" w:fill="FFFFFF"/>
        </w:rPr>
        <w:t>第十四条</w:t>
      </w:r>
      <w:r>
        <w:rPr>
          <w:rFonts w:hint="default" w:ascii="Segoe UI" w:hAnsi="Segoe UI" w:eastAsia="Segoe UI" w:cs="Segoe UI"/>
          <w:i w:val="0"/>
          <w:iCs w:val="0"/>
          <w:caps w:val="0"/>
          <w:color w:val="333333"/>
          <w:spacing w:val="0"/>
          <w:sz w:val="21"/>
          <w:szCs w:val="21"/>
          <w:shd w:val="clear" w:fill="FFFFFF"/>
        </w:rPr>
        <w:t>学校以往有关专升本招生工作的政策、规定与本章程不一致的，一律废止，以本章程公布的为准。</w:t>
      </w:r>
    </w:p>
    <w:p w14:paraId="7AC303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80"/>
      </w:pPr>
      <w:r>
        <w:rPr>
          <w:rStyle w:val="6"/>
          <w:rFonts w:hint="default" w:ascii="Segoe UI" w:hAnsi="Segoe UI" w:eastAsia="Segoe UI" w:cs="Segoe UI"/>
          <w:b/>
          <w:bCs/>
          <w:i w:val="0"/>
          <w:iCs w:val="0"/>
          <w:caps w:val="0"/>
          <w:color w:val="333333"/>
          <w:spacing w:val="0"/>
          <w:sz w:val="21"/>
          <w:szCs w:val="21"/>
          <w:shd w:val="clear" w:fill="FFFFFF"/>
        </w:rPr>
        <w:t>本章程于2025年1月修订。</w:t>
      </w:r>
    </w:p>
    <w:p w14:paraId="74686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80"/>
      </w:pPr>
    </w:p>
    <w:p w14:paraId="4BE65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80"/>
      </w:pPr>
    </w:p>
    <w:p w14:paraId="5F16E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right"/>
      </w:pPr>
      <w:r>
        <w:rPr>
          <w:rFonts w:hint="default" w:ascii="Segoe UI" w:hAnsi="Segoe UI" w:eastAsia="Segoe UI" w:cs="Segoe UI"/>
          <w:i w:val="0"/>
          <w:iCs w:val="0"/>
          <w:caps w:val="0"/>
          <w:color w:val="000000"/>
          <w:spacing w:val="0"/>
          <w:sz w:val="21"/>
          <w:szCs w:val="21"/>
          <w:shd w:val="clear" w:fill="FFFFFF"/>
        </w:rPr>
        <w:t>豫章师范学院</w:t>
      </w:r>
    </w:p>
    <w:p w14:paraId="25866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right"/>
      </w:pPr>
      <w:r>
        <w:rPr>
          <w:rFonts w:hint="default" w:ascii="Segoe UI" w:hAnsi="Segoe UI" w:eastAsia="Segoe UI" w:cs="Segoe UI"/>
          <w:i w:val="0"/>
          <w:iCs w:val="0"/>
          <w:caps w:val="0"/>
          <w:color w:val="000000"/>
          <w:spacing w:val="0"/>
          <w:sz w:val="21"/>
          <w:szCs w:val="21"/>
          <w:shd w:val="clear" w:fill="FFFFFF"/>
        </w:rPr>
        <w:t>2025年2月17日</w:t>
      </w:r>
    </w:p>
    <w:p w14:paraId="45281F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022A3"/>
    <w:rsid w:val="5E42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1518</Words>
  <Characters>1755</Characters>
  <Lines>0</Lines>
  <Paragraphs>0</Paragraphs>
  <TotalTime>1</TotalTime>
  <ScaleCrop>false</ScaleCrop>
  <LinksUpToDate>false</LinksUpToDate>
  <CharactersWithSpaces>1762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2025-02-18T09:42:00Z</dcterms:created>
  <dc:creator>DELL</dc:creator>
  <cp:lastModifiedBy>陈桉</cp:lastModifiedBy>
  <dcterms:modified xsi:type="dcterms:W3CDTF">2025-02-20T01:34:32Z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32BD41D3C7A042DF87D051B02568FC13_12</vt:lpwstr>
  </property>
</Properties>
</file>